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jc w:val="center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3056"/>
        <w:gridCol w:w="2014"/>
        <w:gridCol w:w="245"/>
        <w:gridCol w:w="3739"/>
      </w:tblGrid>
      <w:tr w:rsidR="007D52D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240" w:after="24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FFFFFF" w:themeColor="background1"/>
                <w:szCs w:val="22"/>
                <w:lang w:val="es-EC"/>
              </w:rPr>
              <w:t>FICHA METODOLÓGICA</w:t>
            </w:r>
          </w:p>
        </w:tc>
      </w:tr>
      <w:tr w:rsidR="001E61E6" w:rsidRPr="00080CCB" w:rsidTr="00C332B3">
        <w:trPr>
          <w:jc w:val="center"/>
        </w:trPr>
        <w:tc>
          <w:tcPr>
            <w:tcW w:w="5315" w:type="dxa"/>
            <w:gridSpan w:val="3"/>
            <w:shd w:val="clear" w:color="auto" w:fill="DBE5F1"/>
            <w:vAlign w:val="center"/>
          </w:tcPr>
          <w:p w:rsidR="007D52DD" w:rsidRPr="00080CCB" w:rsidRDefault="00E05929" w:rsidP="001E61E6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1.</w:t>
            </w:r>
            <w:r w:rsidR="007D52D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NOMBRE DEL INDICADOR</w:t>
            </w:r>
          </w:p>
        </w:tc>
        <w:tc>
          <w:tcPr>
            <w:tcW w:w="3739" w:type="dxa"/>
            <w:vAlign w:val="center"/>
          </w:tcPr>
          <w:p w:rsidR="007D52DD" w:rsidRPr="00DF7424" w:rsidRDefault="001C1D16" w:rsidP="001C1D16">
            <w:pPr>
              <w:ind w:left="360"/>
              <w:rPr>
                <w:rFonts w:asciiTheme="minorHAnsi" w:hAnsiTheme="minorHAnsi" w:cs="Arial"/>
                <w:b/>
                <w:szCs w:val="22"/>
              </w:rPr>
            </w:pPr>
            <w:r w:rsidRPr="00DF7424">
              <w:rPr>
                <w:rFonts w:asciiTheme="minorHAnsi" w:hAnsiTheme="minorHAnsi" w:cs="Arial"/>
                <w:b/>
                <w:szCs w:val="22"/>
              </w:rPr>
              <w:t xml:space="preserve">I. </w:t>
            </w:r>
            <w:r w:rsidR="00935CAD" w:rsidRPr="00DF7424">
              <w:rPr>
                <w:rFonts w:asciiTheme="minorHAnsi" w:hAnsiTheme="minorHAnsi" w:cs="Arial"/>
                <w:b/>
                <w:szCs w:val="22"/>
              </w:rPr>
              <w:t>Cuenta de Producción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2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1C1D16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Presenta las operaciones relativas al propio proceso de producción. 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>recursos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 xml:space="preserve"> incluyen la producción y los </w:t>
            </w:r>
            <w:r w:rsidRPr="00080CCB">
              <w:rPr>
                <w:rFonts w:asciiTheme="minorHAnsi" w:eastAsia="Calibri" w:hAnsiTheme="minorHAnsi" w:cs="Calibri"/>
                <w:b/>
                <w:szCs w:val="22"/>
                <w:lang w:val="es-EC"/>
              </w:rPr>
              <w:t xml:space="preserve">empleos </w:t>
            </w: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los consumos intermedios o los bienes necesarios para su realización.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="Calibri" w:hAnsiTheme="minorHAnsi" w:cs="Calibri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Se elabora  para los sectores institucionales y para las industrias, permite el cálculo del valor agregado, es decir la contribución de las unidades  dedicadas a la actividad productiva al crecimiento y evolución de la economía.</w:t>
            </w:r>
          </w:p>
          <w:p w:rsidR="001C1D16" w:rsidRPr="00080CCB" w:rsidRDefault="001C1D16" w:rsidP="00317A7D">
            <w:pPr>
              <w:tabs>
                <w:tab w:val="left" w:pos="0"/>
                <w:tab w:val="left" w:pos="850"/>
                <w:tab w:val="left" w:pos="1440"/>
              </w:tabs>
              <w:suppressAutoHyphens/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="Calibri" w:hAnsiTheme="minorHAnsi" w:cs="Calibri"/>
                <w:szCs w:val="22"/>
                <w:lang w:val="es-EC"/>
              </w:rPr>
              <w:t>Para el total de la economía la cuenta de producción incluye en los recursos, además de la producción de bienes y servicios, los impuestos menos las subvenciones sobre los productos, lo que permite obtener el producto interno bruto como un saldo contable</w:t>
            </w:r>
          </w:p>
        </w:tc>
      </w:tr>
      <w:tr w:rsidR="009C0A4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C0A42" w:rsidRPr="00080CCB" w:rsidRDefault="00E05929" w:rsidP="00935CAD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3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C0A42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ESTRUCTURA DE LA CUENTA</w:t>
            </w:r>
          </w:p>
        </w:tc>
      </w:tr>
      <w:tr w:rsidR="009C0A42" w:rsidRPr="00080CCB" w:rsidTr="00317A7D">
        <w:trPr>
          <w:trHeight w:val="1893"/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tbl>
            <w:tblPr>
              <w:tblW w:w="883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0"/>
              <w:gridCol w:w="2888"/>
              <w:gridCol w:w="946"/>
              <w:gridCol w:w="621"/>
              <w:gridCol w:w="2887"/>
              <w:gridCol w:w="946"/>
            </w:tblGrid>
            <w:tr w:rsidR="009329F8" w:rsidRPr="009329F8" w:rsidTr="00F46464">
              <w:trPr>
                <w:trHeight w:val="300"/>
              </w:trPr>
              <w:tc>
                <w:tcPr>
                  <w:tcW w:w="5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29F8" w:rsidRPr="009329F8" w:rsidRDefault="009329F8" w:rsidP="00F46464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E</w:t>
                  </w:r>
                  <w:r w:rsidR="00F46464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mpleos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 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29F8" w:rsidRPr="009329F8" w:rsidRDefault="009329F8" w:rsidP="00F46464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R</w:t>
                  </w:r>
                  <w:r w:rsidR="00F46464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ecursos</w:t>
                  </w: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329F8" w:rsidRPr="009329F8" w:rsidRDefault="009329F8" w:rsidP="009329F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Total</w:t>
                  </w:r>
                </w:p>
              </w:tc>
            </w:tr>
            <w:tr w:rsidR="00B404A5" w:rsidRPr="009329F8" w:rsidTr="00F46464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P.2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Consumo intermedio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3.398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P.1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Producción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20.578</w:t>
                  </w:r>
                </w:p>
              </w:tc>
            </w:tr>
            <w:tr w:rsidR="00B404A5" w:rsidRPr="009329F8" w:rsidTr="00F46464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B.1b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Valor agregado bruto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  <w:t>17.180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P.11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Producción de mercado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1.356</w:t>
                  </w:r>
                </w:p>
              </w:tc>
            </w:tr>
            <w:tr w:rsidR="00B404A5" w:rsidRPr="009329F8" w:rsidTr="00F46464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P.51c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Consumo de capital fijo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852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P.12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Producción para uso final propio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</w:p>
              </w:tc>
            </w:tr>
            <w:tr w:rsidR="00B404A5" w:rsidRPr="009329F8" w:rsidTr="00F46464">
              <w:trPr>
                <w:trHeight w:val="300"/>
              </w:trPr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B.1n</w:t>
                  </w:r>
                </w:p>
              </w:tc>
              <w:tc>
                <w:tcPr>
                  <w:tcW w:w="28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b/>
                      <w:bCs/>
                      <w:sz w:val="18"/>
                      <w:szCs w:val="18"/>
                      <w:lang w:val="es-EC" w:eastAsia="es-EC"/>
                    </w:rPr>
                    <w:t>Valor agregado neto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b/>
                      <w:bCs/>
                      <w:color w:val="000000"/>
                      <w:sz w:val="18"/>
                      <w:szCs w:val="22"/>
                    </w:rPr>
                    <w:t>16.328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P.13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9329F8" w:rsidRDefault="00B404A5" w:rsidP="009329F8">
                  <w:pPr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</w:pPr>
                  <w:r w:rsidRPr="009329F8">
                    <w:rPr>
                      <w:rFonts w:ascii="Calibri" w:hAnsi="Calibri" w:cs="Calibri"/>
                      <w:sz w:val="18"/>
                      <w:szCs w:val="18"/>
                      <w:lang w:val="es-EC" w:eastAsia="es-EC"/>
                    </w:rPr>
                    <w:t>Otra producción no de mercado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B404A5" w:rsidRPr="00B404A5" w:rsidRDefault="00B404A5">
                  <w:pPr>
                    <w:jc w:val="right"/>
                    <w:rPr>
                      <w:rFonts w:ascii="Calibri" w:hAnsi="Calibri"/>
                      <w:color w:val="000000"/>
                      <w:sz w:val="18"/>
                      <w:szCs w:val="22"/>
                    </w:rPr>
                  </w:pPr>
                  <w:r w:rsidRPr="00B404A5">
                    <w:rPr>
                      <w:rFonts w:ascii="Calibri" w:hAnsi="Calibri"/>
                      <w:color w:val="000000"/>
                      <w:sz w:val="18"/>
                      <w:szCs w:val="22"/>
                    </w:rPr>
                    <w:t>19.222</w:t>
                  </w:r>
                </w:p>
              </w:tc>
            </w:tr>
          </w:tbl>
          <w:p w:rsidR="000A5B0A" w:rsidRPr="00080CCB" w:rsidRDefault="000A5B0A" w:rsidP="000A5B0A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</w:p>
        </w:tc>
      </w:tr>
      <w:tr w:rsidR="00935CAD" w:rsidRPr="00080CCB" w:rsidTr="00317A7D">
        <w:trPr>
          <w:trHeight w:val="489"/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E05929" w:rsidP="00935CAD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4</w:t>
            </w:r>
            <w:r w:rsid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. </w:t>
            </w:r>
            <w:r w:rsidR="00935CAD"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FÓRMULA DE CÁLCULO</w:t>
            </w:r>
          </w:p>
        </w:tc>
      </w:tr>
      <w:tr w:rsidR="007D1F9A" w:rsidRPr="00080CCB" w:rsidTr="009C7C04">
        <w:trPr>
          <w:trHeight w:val="327"/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7D1F9A" w:rsidRPr="00633AF0" w:rsidRDefault="007D1F9A" w:rsidP="007D1F9A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633AF0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RECURSOS</w:t>
            </w:r>
          </w:p>
        </w:tc>
      </w:tr>
      <w:tr w:rsidR="00EB3D0B" w:rsidRPr="00080CCB" w:rsidTr="009C7C04">
        <w:trPr>
          <w:jc w:val="center"/>
        </w:trPr>
        <w:tc>
          <w:tcPr>
            <w:tcW w:w="9054" w:type="dxa"/>
            <w:gridSpan w:val="4"/>
            <w:shd w:val="clear" w:color="auto" w:fill="DEEAF6" w:themeFill="accent1" w:themeFillTint="33"/>
            <w:vAlign w:val="center"/>
          </w:tcPr>
          <w:p w:rsidR="00EB3D0B" w:rsidRDefault="00EB3D0B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</w:t>
            </w:r>
            <w:r w:rsidRPr="00EB3D0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Producción</w:t>
            </w:r>
          </w:p>
        </w:tc>
      </w:tr>
      <w:tr w:rsidR="00EB3D0B" w:rsidRPr="00080CCB" w:rsidTr="00EB3D0B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D5D30" w:rsidRPr="00997EC0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=P.2+P.51c+D.1+D.29</m:t>
                </m:r>
              </m:oMath>
            </m:oMathPara>
          </w:p>
          <w:p w:rsidR="004D5D30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4D5D30" w:rsidRPr="00FC2143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=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Producción</w:t>
            </w:r>
          </w:p>
          <w:p w:rsidR="004D5D30" w:rsidRPr="00FC2143" w:rsidRDefault="004D5D30" w:rsidP="004D5D3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lastRenderedPageBreak/>
              <w:t>P.</w:t>
            </w:r>
            <w:r w:rsidR="00BB1CBA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2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=    </w:t>
            </w:r>
            <w:r w:rsidR="00BB1CBA" w:rsidRPr="00BB1CBA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intermedio</w:t>
            </w:r>
          </w:p>
          <w:p w:rsidR="004D5D30" w:rsidRDefault="00BB1CBA" w:rsidP="00BB1CBA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P.51c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=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Consumo de capital fijo</w:t>
            </w:r>
          </w:p>
          <w:p w:rsidR="00474143" w:rsidRDefault="00474143" w:rsidP="00474143">
            <w:pPr>
              <w:spacing w:before="120" w:after="120"/>
              <w:ind w:left="142" w:hanging="142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D.1      =     Remuneración de los empleados</w:t>
            </w:r>
          </w:p>
          <w:p w:rsidR="00474143" w:rsidRPr="00BB1CBA" w:rsidRDefault="00474143" w:rsidP="00474143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D.29    =      </w:t>
            </w:r>
            <w:r w:rsidRPr="00556EEC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Otros impuestos sobre la producción</w:t>
            </w:r>
          </w:p>
        </w:tc>
      </w:tr>
      <w:tr w:rsidR="00994BB6" w:rsidRPr="00536CE6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94BB6" w:rsidRPr="00EB3D0B" w:rsidRDefault="00994BB6" w:rsidP="00EB3D0B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</w:pP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lastRenderedPageBreak/>
              <w:t>P.11</w:t>
            </w:r>
            <w:r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ab/>
              <w:t>Producción de mercado</w:t>
            </w:r>
            <w:r w:rsidR="00536CE6" w:rsidRPr="00EB3D0B">
              <w:rPr>
                <w:rFonts w:asciiTheme="minorHAnsi" w:eastAsiaTheme="minorHAnsi" w:hAnsiTheme="minorHAnsi" w:cs="Arial"/>
                <w:b/>
                <w:bCs/>
                <w:szCs w:val="22"/>
                <w:lang w:val="es-EC"/>
              </w:rPr>
              <w:t xml:space="preserve"> 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E946C1" w:rsidRPr="00080CCB" w:rsidRDefault="00E946C1" w:rsidP="0080228D">
            <w:pPr>
              <w:rPr>
                <w:rFonts w:asciiTheme="minorHAnsi" w:hAnsiTheme="minorHAnsi"/>
                <w:szCs w:val="22"/>
                <w:lang w:val="es-PE"/>
              </w:rPr>
            </w:pPr>
          </w:p>
          <w:p w:rsidR="00935CAD" w:rsidRPr="00115E80" w:rsidRDefault="00DE0BFA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>P.11=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Cs w:val="22"/>
                        <w:lang w:val="es-PE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Cs w:val="22"/>
                        <w:lang w:val="es-PE"/>
                      </w:rPr>
                      <m:t>Partidas presupuestarias de la base de ingresos correspondientes a P.11</m:t>
                    </m:r>
                  </m:e>
                </m:nary>
              </m:oMath>
            </m:oMathPara>
          </w:p>
          <w:p w:rsidR="00115E80" w:rsidRPr="00DE0BFA" w:rsidRDefault="00115E80" w:rsidP="00890DD1">
            <w:pPr>
              <w:rPr>
                <w:rFonts w:asciiTheme="minorHAnsi" w:hAnsiTheme="minorHAnsi" w:cs="Arial"/>
                <w:szCs w:val="22"/>
                <w:lang w:val="es-PE"/>
              </w:rPr>
            </w:pP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3C2F4C" w:rsidRPr="00080CCB" w:rsidRDefault="003C2F4C" w:rsidP="003C2F4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P.12 Producción para uso final propio</w:t>
            </w:r>
          </w:p>
        </w:tc>
      </w:tr>
      <w:tr w:rsidR="003C2F4C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C2F4C" w:rsidRPr="00080CCB" w:rsidRDefault="003C4A15" w:rsidP="00FD3ED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No aplica</w:t>
            </w:r>
          </w:p>
        </w:tc>
      </w:tr>
      <w:tr w:rsidR="00935CAD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935CAD" w:rsidRPr="00080CCB" w:rsidRDefault="00080CCB" w:rsidP="00080CCB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P.13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E6350F" w:rsidRPr="00997EC0" w:rsidRDefault="0062210E" w:rsidP="00E6350F">
            <w:pPr>
              <w:spacing w:before="120" w:after="120"/>
              <w:jc w:val="center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108585</wp:posOffset>
                      </wp:positionV>
                      <wp:extent cx="114300" cy="356870"/>
                      <wp:effectExtent l="12065" t="10795" r="12065" b="825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14300" cy="356870"/>
                              </a:xfrm>
                              <a:prstGeom prst="leftBrace">
                                <a:avLst>
                                  <a:gd name="adj1" fmla="val 2601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3" o:spid="_x0000_s1026" type="#_x0000_t87" style="position:absolute;margin-left:273pt;margin-top:8.55pt;width:9pt;height:28.1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"/>
                  </w:pict>
                </mc:Fallback>
              </mc:AlternateContent>
            </w: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2464435</wp:posOffset>
                      </wp:positionH>
                      <wp:positionV relativeFrom="paragraph">
                        <wp:posOffset>-330835</wp:posOffset>
                      </wp:positionV>
                      <wp:extent cx="114300" cy="1316355"/>
                      <wp:effectExtent l="5715" t="13335" r="11430" b="571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14300" cy="1316355"/>
                              </a:xfrm>
                              <a:prstGeom prst="leftBrace">
                                <a:avLst>
                                  <a:gd name="adj1" fmla="val 9597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87" style="position:absolute;margin-left:194.05pt;margin-top:-26.05pt;width:9pt;height:103.6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"/>
                  </w:pict>
                </mc:Fallback>
              </mc:AlternateConten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P.13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Arial"/>
                      <w:i/>
                      <w:color w:val="000000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HAnsi" w:hAnsi="Cambria Math" w:cs="Arial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 w:cs="Arial"/>
                          <w:color w:val="000000"/>
                          <w:szCs w:val="22"/>
                        </w:rPr>
                        <m:t>P.2+D.1+D.29</m:t>
                      </m:r>
                    </m:e>
                  </m:d>
                  <m:r>
                    <w:rPr>
                      <w:rFonts w:ascii="Cambria Math" w:eastAsiaTheme="minorHAnsi" w:hAnsi="Cambria Math" w:cs="Arial"/>
                      <w:color w:val="000000"/>
                      <w:szCs w:val="22"/>
                    </w:rPr>
                    <m:t>-P.11</m:t>
                  </m:r>
                </m:e>
              </m:d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+P.51c</m:t>
              </m:r>
            </m:oMath>
          </w:p>
          <w:p w:rsidR="00E6350F" w:rsidRPr="003220F3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                                                     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>variables empleos    variables recursos</w:t>
            </w:r>
          </w:p>
          <w:p w:rsidR="00E6350F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color w:val="000000"/>
                <w:szCs w:val="22"/>
              </w:rPr>
              <w:t>Dónde:</w:t>
            </w:r>
          </w:p>
          <w:p w:rsidR="00E6350F" w:rsidRPr="00FC2143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P.13    =    Otra producción no de mercado</w:t>
            </w:r>
          </w:p>
          <w:p w:rsidR="00E6350F" w:rsidRPr="00FC2143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P.</w:t>
            </w: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2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=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intermedio</w:t>
            </w:r>
          </w:p>
          <w:p w:rsidR="00E6350F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D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.1  </w:t>
            </w:r>
            <w:r w:rsidR="006275C1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</w:t>
            </w:r>
            <w:r w:rsidRPr="00FC214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=   </w:t>
            </w:r>
            <w:r w:rsidR="006275C1" w:rsidRPr="006275C1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Remuneración de los empleados</w:t>
            </w:r>
          </w:p>
          <w:p w:rsidR="00E6350F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D.29   =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Otros impuestos sobre la producción</w:t>
            </w:r>
          </w:p>
          <w:p w:rsidR="00E6350F" w:rsidRDefault="00E6350F" w:rsidP="00E6350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P.11   =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Producción de mercado</w:t>
            </w:r>
          </w:p>
          <w:p w:rsidR="00FC2143" w:rsidRPr="00FC2143" w:rsidRDefault="00E6350F" w:rsidP="00E6350F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P.51c =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>Consumo de capital fijo</w:t>
            </w:r>
          </w:p>
        </w:tc>
      </w:tr>
      <w:tr w:rsidR="00482714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482714" w:rsidRPr="009C7C04" w:rsidRDefault="007D1F9A" w:rsidP="00482714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</w:pPr>
            <w:r w:rsidRPr="009C7C04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u w:val="single"/>
                <w:lang w:val="es-EC"/>
              </w:rPr>
              <w:t>EMPLEOS</w:t>
            </w:r>
          </w:p>
        </w:tc>
      </w:tr>
      <w:tr w:rsidR="007D1F9A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D1F9A" w:rsidRPr="00080CCB" w:rsidRDefault="007D1F9A" w:rsidP="002D1E3C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P.2 Consumo </w:t>
            </w:r>
            <w:r w:rsidR="002D1E3C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ntermedio</w:t>
            </w:r>
          </w:p>
        </w:tc>
      </w:tr>
      <w:tr w:rsidR="00792D00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B08D7" w:rsidRPr="00E95665" w:rsidRDefault="00FC2143" w:rsidP="00FC2143">
            <w:pPr>
              <w:spacing w:after="160" w:line="252" w:lineRule="auto"/>
              <w:contextualSpacing/>
              <w:jc w:val="both"/>
              <w:rPr>
                <w:rFonts w:asciiTheme="minorHAnsi" w:hAnsiTheme="minorHAnsi" w:cs="Tahoma"/>
                <w:szCs w:val="22"/>
                <w:lang w:val="es-PE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  <w:lang w:val="es-PE"/>
                  </w:rPr>
                  <m:t>P.2=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Cs w:val="22"/>
                        <w:lang w:val="es-PE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  <w:szCs w:val="22"/>
                        <w:lang w:val="es-PE"/>
                      </w:rPr>
                      <m:t>Partidas presupuestarias de la base de gastos correspondientes a P.2</m:t>
                    </m:r>
                  </m:e>
                </m:nary>
              </m:oMath>
            </m:oMathPara>
          </w:p>
        </w:tc>
      </w:tr>
      <w:tr w:rsidR="001C1D1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C1D16" w:rsidRPr="00080CCB" w:rsidRDefault="001E61E6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lastRenderedPageBreak/>
              <w:t>B.1b</w:t>
            </w:r>
            <w:r w:rsidRPr="00080CCB">
              <w:rPr>
                <w:rFonts w:asciiTheme="minorHAnsi" w:hAnsiTheme="minorHAnsi"/>
                <w:b/>
                <w:bCs/>
                <w:color w:val="000000"/>
                <w:szCs w:val="22"/>
                <w:lang w:eastAsia="es-ES"/>
              </w:rPr>
              <w:tab/>
              <w:t>Valor agregado bruto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FC2143" w:rsidRPr="00080CCB" w:rsidRDefault="00997EC0" w:rsidP="00FD3EDC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FC2143" w:rsidRPr="00997EC0" w:rsidRDefault="00FC2143" w:rsidP="00997EC0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  <w:r w:rsidRPr="00997EC0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</w:p>
          <w:p w:rsidR="00997EC0" w:rsidRDefault="00997EC0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1E61E6" w:rsidRDefault="004713AB" w:rsidP="00FC2143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P.1</w:t>
            </w:r>
            <w:r w:rsidR="00FC2143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= </w:t>
            </w: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Producción </w:t>
            </w:r>
          </w:p>
          <w:p w:rsidR="00FB6597" w:rsidRDefault="00FC2143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Ci =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Consumo intermedio     </w:t>
            </w:r>
            <w:r w:rsidR="001E61E6"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</w:p>
          <w:p w:rsidR="009329F8" w:rsidRPr="009329F8" w:rsidRDefault="001E61E6" w:rsidP="00115E80">
            <w:pPr>
              <w:widowControl w:val="0"/>
              <w:autoSpaceDE w:val="0"/>
              <w:autoSpaceDN w:val="0"/>
              <w:adjustRightInd w:val="0"/>
              <w:spacing w:before="22" w:after="120" w:line="276" w:lineRule="auto"/>
              <w:ind w:right="68"/>
              <w:rPr>
                <w:rFonts w:asciiTheme="minorHAnsi" w:hAnsiTheme="minorHAnsi" w:cs="Tahoma"/>
                <w:iCs/>
                <w:color w:val="000000"/>
                <w:position w:val="-1"/>
                <w:szCs w:val="22"/>
              </w:rPr>
            </w:pPr>
            <w:r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   </w:t>
            </w:r>
            <w:r w:rsidR="00FD3EDC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</w:t>
            </w:r>
            <w:r w:rsidR="0020674E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 xml:space="preserve">  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B36A2" w:rsidP="001E61E6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P.51c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Consumo de capital fijo</w:t>
            </w: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7B36A2" w:rsidRDefault="007B36A2" w:rsidP="0020674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 en la ficha metodológica de Consumo de capital fijo.</w:t>
            </w:r>
          </w:p>
          <w:p w:rsidR="00FB6597" w:rsidRPr="009329F8" w:rsidRDefault="00FB6597" w:rsidP="0020674E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ind w:right="68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</w:p>
        </w:tc>
      </w:tr>
      <w:tr w:rsidR="001E61E6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1E61E6" w:rsidRPr="00080CCB" w:rsidRDefault="007D1F9A" w:rsidP="005E3C40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B.1n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ab/>
              <w:t>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DF66C2" w:rsidRPr="00080CCB" w:rsidRDefault="00997EC0" w:rsidP="00DF66C2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</w:pPr>
            <w:r w:rsidRPr="00DF66C2">
              <w:rPr>
                <w:rFonts w:asciiTheme="minorHAnsi" w:hAnsiTheme="minorHAnsi" w:cs="Tahoma"/>
                <w:b/>
                <w:color w:val="000000"/>
                <w:position w:val="-1"/>
                <w:szCs w:val="22"/>
              </w:rPr>
              <w:t>Dónde:</w:t>
            </w:r>
          </w:p>
          <w:p w:rsidR="00DF66C2" w:rsidRDefault="00DF66C2" w:rsidP="00DF66C2">
            <w:pPr>
              <w:widowControl w:val="0"/>
              <w:autoSpaceDE w:val="0"/>
              <w:autoSpaceDN w:val="0"/>
              <w:adjustRightInd w:val="0"/>
              <w:spacing w:before="22" w:line="276" w:lineRule="auto"/>
              <w:ind w:right="66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VAN= Valor Agregado Neto</w:t>
            </w:r>
          </w:p>
          <w:p w:rsidR="00DF66C2" w:rsidRDefault="00DF66C2" w:rsidP="00E956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VAB = Valor Agregado Bruto</w:t>
            </w:r>
          </w:p>
          <w:p w:rsidR="00FB6597" w:rsidRPr="00115E80" w:rsidRDefault="00DF66C2" w:rsidP="00E9566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68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w:r>
              <w:rPr>
                <w:rFonts w:asciiTheme="minorHAnsi" w:hAnsiTheme="minorHAnsi" w:cs="Tahoma"/>
                <w:color w:val="000000"/>
                <w:position w:val="-1"/>
                <w:szCs w:val="22"/>
              </w:rPr>
              <w:t>CCF =  Consumo de Capital Fijo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5.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DEFINICIÓN DE LAS VARIABLES RELACIONADAS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7B36A2" w:rsidRPr="00FD3EDC" w:rsidRDefault="007B36A2" w:rsidP="00FD3EDC">
            <w:pPr>
              <w:spacing w:before="120"/>
              <w:jc w:val="center"/>
              <w:rPr>
                <w:rFonts w:asciiTheme="minorHAnsi" w:hAnsiTheme="minorHAnsi" w:cs="Arial"/>
                <w:sz w:val="4"/>
                <w:szCs w:val="22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490"/>
              <w:gridCol w:w="6492"/>
            </w:tblGrid>
            <w:tr w:rsidR="007B36A2" w:rsidRPr="00080CCB" w:rsidTr="0006511B">
              <w:trPr>
                <w:trHeight w:hRule="exact" w:val="935"/>
                <w:tblHeader/>
              </w:trPr>
              <w:tc>
                <w:tcPr>
                  <w:tcW w:w="479" w:type="pct"/>
                  <w:shd w:val="clear" w:color="auto" w:fill="DEEAF6" w:themeFill="accent1" w:themeFillTint="33"/>
                  <w:vAlign w:val="center"/>
                </w:tcPr>
                <w:p w:rsidR="007B36A2" w:rsidRPr="0006511B" w:rsidRDefault="007B36A2" w:rsidP="005E3C40">
                  <w:pPr>
                    <w:spacing w:before="120" w:after="120"/>
                    <w:jc w:val="center"/>
                    <w:rPr>
                      <w:rFonts w:asciiTheme="minorHAnsi" w:eastAsiaTheme="minorHAnsi" w:hAnsiTheme="minorHAnsi" w:cs="Arial"/>
                      <w:b/>
                      <w:bCs/>
                      <w:color w:val="000000"/>
                      <w:szCs w:val="22"/>
                      <w:lang w:val="es-EC"/>
                    </w:rPr>
                  </w:pPr>
                  <w:r w:rsidRPr="0006511B">
                    <w:rPr>
                      <w:rFonts w:asciiTheme="minorHAnsi" w:eastAsiaTheme="minorHAnsi" w:hAnsiTheme="minorHAnsi" w:cs="Arial"/>
                      <w:b/>
                      <w:bCs/>
                      <w:color w:val="000000"/>
                      <w:sz w:val="22"/>
                      <w:szCs w:val="22"/>
                      <w:lang w:val="es-EC"/>
                    </w:rPr>
                    <w:t>Código SCN 2008</w:t>
                  </w:r>
                </w:p>
              </w:tc>
              <w:tc>
                <w:tcPr>
                  <w:tcW w:w="844" w:type="pct"/>
                  <w:shd w:val="clear" w:color="auto" w:fill="DEEAF6" w:themeFill="accent1" w:themeFillTint="33"/>
                  <w:vAlign w:val="center"/>
                </w:tcPr>
                <w:p w:rsidR="007B36A2" w:rsidRPr="0006511B" w:rsidRDefault="007B36A2" w:rsidP="005E3C40">
                  <w:pPr>
                    <w:spacing w:before="120" w:after="120"/>
                    <w:jc w:val="center"/>
                    <w:rPr>
                      <w:rFonts w:asciiTheme="minorHAnsi" w:eastAsiaTheme="minorHAnsi" w:hAnsiTheme="minorHAnsi" w:cs="Arial"/>
                      <w:b/>
                      <w:bCs/>
                      <w:color w:val="000000"/>
                      <w:szCs w:val="22"/>
                      <w:lang w:val="es-EC"/>
                    </w:rPr>
                  </w:pPr>
                  <w:r w:rsidRPr="0006511B">
                    <w:rPr>
                      <w:rFonts w:asciiTheme="minorHAnsi" w:eastAsiaTheme="minorHAnsi" w:hAnsiTheme="minorHAnsi" w:cs="Arial"/>
                      <w:b/>
                      <w:bCs/>
                      <w:color w:val="000000"/>
                      <w:sz w:val="22"/>
                      <w:szCs w:val="22"/>
                      <w:lang w:val="es-EC"/>
                    </w:rPr>
                    <w:t xml:space="preserve"> Transacción</w:t>
                  </w:r>
                </w:p>
              </w:tc>
              <w:tc>
                <w:tcPr>
                  <w:tcW w:w="3677" w:type="pct"/>
                  <w:shd w:val="clear" w:color="auto" w:fill="DEEAF6" w:themeFill="accent1" w:themeFillTint="33"/>
                  <w:vAlign w:val="center"/>
                </w:tcPr>
                <w:p w:rsidR="007B36A2" w:rsidRPr="0006511B" w:rsidRDefault="007B36A2" w:rsidP="00080CCB">
                  <w:pPr>
                    <w:spacing w:before="120" w:after="120"/>
                    <w:jc w:val="center"/>
                    <w:rPr>
                      <w:rFonts w:asciiTheme="minorHAnsi" w:eastAsiaTheme="minorHAnsi" w:hAnsiTheme="minorHAnsi" w:cs="Arial"/>
                      <w:b/>
                      <w:bCs/>
                      <w:color w:val="000000"/>
                      <w:szCs w:val="22"/>
                      <w:lang w:val="es-EC"/>
                    </w:rPr>
                  </w:pPr>
                  <w:r w:rsidRPr="0006511B">
                    <w:rPr>
                      <w:rFonts w:asciiTheme="minorHAnsi" w:eastAsiaTheme="minorHAnsi" w:hAnsiTheme="minorHAnsi" w:cs="Arial"/>
                      <w:b/>
                      <w:bCs/>
                      <w:color w:val="000000"/>
                      <w:sz w:val="22"/>
                      <w:szCs w:val="22"/>
                      <w:lang w:val="es-EC"/>
                    </w:rPr>
                    <w:t>Descripción</w:t>
                  </w:r>
                </w:p>
              </w:tc>
            </w:tr>
            <w:tr w:rsidR="007B36A2" w:rsidRPr="00080CCB" w:rsidTr="00234BF0">
              <w:trPr>
                <w:trHeight w:val="1000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color w:val="FF0000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la actividad realizada bajo el control y la responsabilidad de una unidad institucional que utiliza mano de obra, insumos de bienes y servicios y capital para obtener otros bienes y servicios.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lastRenderedPageBreak/>
                    <w:t>P. 11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Es aquella que es vendida o que se piensa destinar a su venta en el mercado a precios económicamente significativos y que permitan cubrir sus costos de producción y obtener una ganancia. Es típica de las Sociedades y de los Hogares.</w:t>
                  </w:r>
                </w:p>
              </w:tc>
            </w:tr>
            <w:tr w:rsidR="007B36A2" w:rsidRPr="00080CCB" w:rsidTr="004D09C9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9329F8" w:rsidRDefault="007B36A2" w:rsidP="00080CCB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P.12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9329F8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9329F8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para uso final propio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7B36A2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Comprende los productos retenidos por el productor para su propio uso en consumo final o formación de capital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 13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Producción no de mercado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Consiste en los bienes y servicios colectivos o individuales producidos por el Gobierno General o por las ISFLSH y que se suministran a la sociedad en su conjunto o a grupos determinados de hogares gratuitamente o a precios económicamente no significativos.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P.2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Consumo intermedio</w:t>
                  </w:r>
                  <w:r w:rsidRPr="00080CCB">
                    <w:rPr>
                      <w:rFonts w:asciiTheme="minorHAnsi" w:hAnsiTheme="minorHAnsi" w:cs="Calibri"/>
                      <w:b/>
                      <w:color w:val="FF0000"/>
                      <w:sz w:val="22"/>
                      <w:szCs w:val="22"/>
                      <w:lang w:val="es-EC"/>
                    </w:rPr>
                    <w:t xml:space="preserve"> 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 w:cs="Calibri"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sz w:val="22"/>
                      <w:szCs w:val="22"/>
                      <w:lang w:val="es-EC"/>
                    </w:rPr>
                    <w:t>El consumo intermedio es el valor de los bienes y servicios utilizados por las unidades productivas como materias primas e insumos durante un proceso de producción, con el fin de generar nuevos bienes y servicios. Los bienes o servicios considerados consumo intermedio deben transformarse, consumirse o incorporarse a otros bienes y servicios en el proceso productivo.</w:t>
                  </w:r>
                </w:p>
              </w:tc>
            </w:tr>
            <w:tr w:rsidR="007B36A2" w:rsidRPr="00080CCB" w:rsidTr="00234BF0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5E3C40">
                  <w:pPr>
                    <w:spacing w:before="120" w:after="120"/>
                    <w:jc w:val="center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B.1</w:t>
                  </w:r>
                  <w:r w:rsidR="009C7C04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b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rPr>
                      <w:rFonts w:asciiTheme="minorHAnsi" w:hAnsiTheme="minorHAnsi" w:cs="Calibri"/>
                      <w:b/>
                      <w:szCs w:val="22"/>
                      <w:lang w:val="es-EC"/>
                    </w:rPr>
                  </w:pPr>
                  <w:r w:rsidRPr="00080CCB">
                    <w:rPr>
                      <w:rFonts w:asciiTheme="minorHAnsi" w:hAnsiTheme="minorHAnsi" w:cs="Calibri"/>
                      <w:b/>
                      <w:sz w:val="22"/>
                      <w:szCs w:val="22"/>
                      <w:lang w:val="es-EC"/>
                    </w:rPr>
                    <w:t>Valor Agregado Bruto</w:t>
                  </w:r>
                </w:p>
              </w:tc>
              <w:tc>
                <w:tcPr>
                  <w:tcW w:w="3677" w:type="pct"/>
                  <w:vAlign w:val="center"/>
                </w:tcPr>
                <w:p w:rsidR="007B36A2" w:rsidRPr="007B36A2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sz w:val="22"/>
                      <w:szCs w:val="22"/>
                    </w:rPr>
                    <w:t>Se define como la producción valorada a precios básicos menos el consumo intermedio valorado a precios de comprador. Desde el punto de vista del productor, los precios de comprador para los insumos y los precios básicos para los productos representan los precios realmente pagados y recibidos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3A430C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P.51c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Consumo de capital fijo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FA0838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FA0838">
                    <w:rPr>
                      <w:rFonts w:asciiTheme="minorHAnsi" w:hAnsiTheme="minorHAnsi"/>
                      <w:sz w:val="22"/>
                      <w:szCs w:val="22"/>
                    </w:rPr>
                    <w:t>El consumo de capital fijo es la declinación, durante el período contable, del valor corriente del stock de activos fijos que posee y que utiliza un productor, como consecuencia del deterioro físico, de la obsolescencia normal o de daños accidentales normales. (SCN 2008, 10.25)</w:t>
                  </w:r>
                </w:p>
              </w:tc>
            </w:tr>
            <w:tr w:rsidR="007B36A2" w:rsidRPr="00080CCB" w:rsidTr="007B36A2">
              <w:trPr>
                <w:trHeight w:val="156"/>
              </w:trPr>
              <w:tc>
                <w:tcPr>
                  <w:tcW w:w="479" w:type="pct"/>
                  <w:vAlign w:val="center"/>
                </w:tcPr>
                <w:p w:rsidR="007B36A2" w:rsidRPr="00080CCB" w:rsidRDefault="007B36A2" w:rsidP="009329F8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</w:t>
                  </w:r>
                  <w:r w:rsidRPr="00080CCB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.1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844" w:type="pct"/>
                  <w:vAlign w:val="center"/>
                </w:tcPr>
                <w:p w:rsidR="007B36A2" w:rsidRPr="00080CCB" w:rsidRDefault="007B36A2" w:rsidP="00ED272B">
                  <w:pPr>
                    <w:rPr>
                      <w:rFonts w:asciiTheme="minorHAnsi" w:hAnsiTheme="minorHAnsi"/>
                      <w:b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Valor Agregado Neto</w:t>
                  </w:r>
                </w:p>
              </w:tc>
              <w:tc>
                <w:tcPr>
                  <w:tcW w:w="3677" w:type="pct"/>
                  <w:shd w:val="clear" w:color="auto" w:fill="auto"/>
                  <w:vAlign w:val="center"/>
                </w:tcPr>
                <w:p w:rsidR="007B36A2" w:rsidRPr="00080CCB" w:rsidRDefault="007B36A2" w:rsidP="00ED272B">
                  <w:pPr>
                    <w:spacing w:before="120" w:after="120"/>
                    <w:jc w:val="both"/>
                    <w:rPr>
                      <w:rFonts w:asciiTheme="minorHAnsi" w:hAnsiTheme="minorHAnsi"/>
                      <w:szCs w:val="22"/>
                    </w:rPr>
                  </w:pPr>
                  <w:r w:rsidRPr="007B36A2">
                    <w:rPr>
                      <w:rFonts w:asciiTheme="minorHAnsi" w:hAnsiTheme="minorHAnsi"/>
                      <w:sz w:val="22"/>
                      <w:szCs w:val="22"/>
                    </w:rPr>
                    <w:t>Se define como el valor de la producción menos los valores tanto del consumo intermedio como del consumo de capital fijo</w:t>
                  </w:r>
                  <w:r w:rsidR="00FA0838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130E03" w:rsidRPr="00080CCB" w:rsidRDefault="00130E03" w:rsidP="00130E03">
            <w:pPr>
              <w:spacing w:after="120"/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 xml:space="preserve">6.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METODOLOGÍA DE CÁLCULO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890DD1" w:rsidRDefault="00997EC0" w:rsidP="00130E03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 presente ficha metodológica detalla al subsector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institucional 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Fondos de la Seguridad Social del ejercicio 2011</w:t>
            </w:r>
            <w:r w:rsidR="004B402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 el mismo que cont</w:t>
            </w:r>
            <w:r w:rsid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empla: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lastRenderedPageBreak/>
              <w:t>Seguro general de salu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 individual y familiar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las fuerzas armadas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 policía nacional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social campesino</w:t>
            </w:r>
          </w:p>
          <w:p w:rsidR="00F9354A" w:rsidRPr="00924F9E" w:rsidRDefault="00F9354A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A manera de ejemplo en esta ficha se detalla el proceso de elaboración de la cuenta  Seguro general de salud individual y familiar</w:t>
            </w:r>
            <w:r w:rsid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que contiene: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salud individual y familiar-rectoría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 individual y familiar-dispensarios</w:t>
            </w:r>
          </w:p>
          <w:p w:rsidR="00F9354A" w:rsidRDefault="00F9354A" w:rsidP="00F9354A">
            <w:pPr>
              <w:pStyle w:val="Prrafodelista"/>
              <w:numPr>
                <w:ilvl w:val="0"/>
                <w:numId w:val="17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F9354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 individual y familiar-hospitales</w:t>
            </w:r>
          </w:p>
          <w:p w:rsidR="00924F9E" w:rsidRDefault="00924F9E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Para el ejercicio práctico se toma</w:t>
            </w:r>
            <w:r w:rsidR="001760C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la cuenta del</w:t>
            </w:r>
            <w:r w:rsidRPr="00924F9E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Seguro general de salud individual y familiar-rectoría</w:t>
            </w:r>
            <w:r w:rsidR="001760C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Tratamiento de la b</w:t>
            </w:r>
            <w:r w:rsidRPr="001760C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ase</w:t>
            </w: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 de datos:</w:t>
            </w:r>
          </w:p>
          <w:p w:rsidR="001760C9" w:rsidRDefault="001760C9" w:rsidP="00924F9E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recolectada del sector institucional gobierno general </w:t>
            </w:r>
            <w:r w:rsidR="00133726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proviene de diferentes fuentes: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Finanzas</w:t>
            </w:r>
          </w:p>
          <w:p w:rsidR="00D532FA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Ministerio de Defensa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Banco del Estado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Seguro General de Salud Individual y familiar del IESS 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Social Campesino (SSC)</w:t>
            </w:r>
          </w:p>
          <w:p w:rsidR="00133726" w:rsidRDefault="00133726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Instituto de Seguridad Social de las Fuerzas Armadas (ISSFA)</w:t>
            </w:r>
          </w:p>
          <w:p w:rsidR="00133726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Direcci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ón Nacional de la Policía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</w:t>
            </w:r>
          </w:p>
          <w:p w:rsidR="00D532FA" w:rsidRDefault="00D532FA" w:rsidP="00133726">
            <w:pPr>
              <w:pStyle w:val="Prrafodelista"/>
              <w:numPr>
                <w:ilvl w:val="0"/>
                <w:numId w:val="20"/>
              </w:num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Distrito Metropolitano de Quito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De estas instituciones se obtienen los Presupuestos devengados del sector salud para cada una de las unidades institucionales, los mismos que contienen 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i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ngre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sos y gastos.</w:t>
            </w:r>
          </w:p>
          <w:p w:rsidR="00054C00" w:rsidRDefault="00054C00" w:rsidP="00054C00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054C0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Para elaborar la cuenta de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</w:t>
            </w:r>
            <w:r w:rsidRPr="00054C00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Seguro general de salud individual y familiar-rectoría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la información proviene del Instituto Ecuatoriano de Seguridad Social</w:t>
            </w:r>
            <w:r w:rsidR="00F0465A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  <w:p w:rsidR="00F9354A" w:rsidRPr="00F9354A" w:rsidRDefault="00F0465A" w:rsidP="00F9354A">
            <w:pPr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La información obtenida 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viene descrita de acuerdo al Clasificador presupuestario de ingresos y gastos del sector público, en la cual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,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cada una de las partidas presupuestarias se 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deben</w:t>
            </w:r>
            <w:r w:rsidR="00082ED1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corresponder según el catálogo de cuentas nacionales</w:t>
            </w:r>
            <w:r w:rsidR="009B2CF7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.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866B13" w:rsidRDefault="00866B1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  <w:u w:val="single"/>
              </w:rPr>
            </w:pPr>
            <w:r>
              <w:rPr>
                <w:rFonts w:asciiTheme="minorHAnsi" w:hAnsiTheme="minorHAnsi" w:cs="Arial"/>
                <w:b/>
                <w:szCs w:val="22"/>
                <w:u w:val="single"/>
              </w:rPr>
              <w:lastRenderedPageBreak/>
              <w:t>RECURSOS</w:t>
            </w:r>
          </w:p>
        </w:tc>
      </w:tr>
      <w:tr w:rsidR="00866B13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866B13" w:rsidRPr="00080CCB" w:rsidRDefault="00866B1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</w:t>
            </w:r>
            <w:r>
              <w:rPr>
                <w:rFonts w:asciiTheme="minorHAnsi" w:hAnsiTheme="minorHAnsi" w:cs="Arial"/>
                <w:b/>
                <w:szCs w:val="22"/>
              </w:rPr>
              <w:t>1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Producción</w:t>
            </w:r>
          </w:p>
        </w:tc>
      </w:tr>
      <w:tr w:rsidR="00D15B9F" w:rsidRPr="00080CCB" w:rsidTr="00D15B9F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D15B9F" w:rsidRPr="0079303F" w:rsidRDefault="00D15B9F" w:rsidP="00D15B9F">
            <w:pPr>
              <w:spacing w:before="120" w:after="120"/>
              <w:rPr>
                <w:color w:val="000000"/>
                <w:szCs w:val="22"/>
              </w:rPr>
            </w:pPr>
            <w:r w:rsidRPr="0079303F">
              <w:rPr>
                <w:color w:val="000000"/>
                <w:szCs w:val="22"/>
              </w:rPr>
              <w:t>Esta variable se calcula de la siguiente manera:</w:t>
            </w:r>
          </w:p>
          <w:p w:rsidR="00D15B9F" w:rsidRPr="0079303F" w:rsidRDefault="0006511B" w:rsidP="00D15B9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=P.2+P.51c+D.1+D.29</m:t>
                </m:r>
              </m:oMath>
            </m:oMathPara>
          </w:p>
          <w:p w:rsidR="00D15B9F" w:rsidRPr="004713AB" w:rsidRDefault="0006511B" w:rsidP="00D15B9F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</m:t>
                </m:r>
                <m:r>
                  <m:rPr>
                    <m:sty m:val="bi"/>
                  </m:rP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 xml:space="preserve">  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intermedio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de capital fijo</m:t>
                </m:r>
                <m:r>
                  <w:rPr>
                    <w:rFonts w:ascii="Cambria Math" w:eastAsiaTheme="minorHAnsi" w:hAnsiTheme="minorHAnsi" w:cs="Arial"/>
                    <w:color w:val="000000"/>
                    <w:szCs w:val="22"/>
                  </w:rPr>
                  <m:t xml:space="preserve">  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Remuneración de los empleados</m:t>
                </m:r>
                <m:r>
                  <m:rPr>
                    <m:sty m:val="p"/>
                  </m:rPr>
                  <w:rPr>
                    <w:rFonts w:ascii="Cambria Math" w:eastAsiaTheme="minorEastAsia" w:hAnsiTheme="minorHAnsi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Otros impuestos sobre la producción</m:t>
                </m:r>
              </m:oMath>
            </m:oMathPara>
          </w:p>
          <w:p w:rsidR="00D15B9F" w:rsidRPr="0079303F" w:rsidRDefault="00D15B9F" w:rsidP="00D15B9F">
            <w:pPr>
              <w:spacing w:before="120" w:after="120"/>
              <w:rPr>
                <w:rFonts w:asciiTheme="minorHAnsi" w:eastAsiaTheme="minorEastAsia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Cs w:val="22"/>
                  </w:rPr>
                  <m:t>3.398+852+16.326+2</m:t>
                </m:r>
              </m:oMath>
            </m:oMathPara>
          </w:p>
          <w:p w:rsidR="00D15B9F" w:rsidRPr="00D15B9F" w:rsidRDefault="00D15B9F" w:rsidP="005E3C40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</m:oMath>
            <w:r w:rsidRPr="0079303F">
              <w:rPr>
                <w:rFonts w:asciiTheme="minorHAnsi" w:eastAsiaTheme="minorEastAsia" w:hAnsiTheme="minorHAnsi" w:cs="Arial"/>
                <w:color w:val="000000"/>
                <w:szCs w:val="22"/>
              </w:rPr>
              <w:t xml:space="preserve"> </w:t>
            </w:r>
            <w:r w:rsidRPr="0079303F">
              <w:rPr>
                <w:rFonts w:ascii="Calibri" w:hAnsi="Calibri"/>
                <w:color w:val="000000"/>
                <w:szCs w:val="22"/>
              </w:rPr>
              <w:t>20.578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P.11 Producción de mercado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3229B0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Una vez codificada las partidas presupuestarias de la base de ingresos de acuerdo al catálogo de cuentas nacionales,  se filtra todas las variables correspondientes a la P.11 obteniendo un total como se observa en el siguiente cuadro:</w:t>
            </w:r>
          </w:p>
          <w:tbl>
            <w:tblPr>
              <w:tblStyle w:val="Tablaconcuadrcula"/>
              <w:tblW w:w="8828" w:type="dxa"/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4819"/>
              <w:gridCol w:w="1887"/>
            </w:tblGrid>
            <w:tr w:rsidR="003229B0" w:rsidTr="00807CAB">
              <w:tc>
                <w:tcPr>
                  <w:tcW w:w="988" w:type="dxa"/>
                  <w:shd w:val="clear" w:color="auto" w:fill="F2F2F2" w:themeFill="background1" w:themeFillShade="F2"/>
                </w:tcPr>
                <w:p w:rsidR="003229B0" w:rsidRPr="003229B0" w:rsidRDefault="003229B0" w:rsidP="003229B0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Partida</w:t>
                  </w:r>
                </w:p>
              </w:tc>
              <w:tc>
                <w:tcPr>
                  <w:tcW w:w="1134" w:type="dxa"/>
                  <w:shd w:val="clear" w:color="auto" w:fill="F2F2F2" w:themeFill="background1" w:themeFillShade="F2"/>
                </w:tcPr>
                <w:p w:rsidR="003229B0" w:rsidRPr="003229B0" w:rsidRDefault="003229B0" w:rsidP="003229B0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Cód. CN</w:t>
                  </w:r>
                </w:p>
              </w:tc>
              <w:tc>
                <w:tcPr>
                  <w:tcW w:w="4819" w:type="dxa"/>
                  <w:shd w:val="clear" w:color="auto" w:fill="F2F2F2" w:themeFill="background1" w:themeFillShade="F2"/>
                </w:tcPr>
                <w:p w:rsidR="003229B0" w:rsidRPr="003229B0" w:rsidRDefault="003229B0" w:rsidP="003229B0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Detalle</w:t>
                  </w:r>
                </w:p>
              </w:tc>
              <w:tc>
                <w:tcPr>
                  <w:tcW w:w="1887" w:type="dxa"/>
                  <w:shd w:val="clear" w:color="auto" w:fill="F2F2F2" w:themeFill="background1" w:themeFillShade="F2"/>
                </w:tcPr>
                <w:p w:rsidR="003229B0" w:rsidRPr="003229B0" w:rsidRDefault="003229B0" w:rsidP="003229B0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Valor dev</w:t>
                  </w: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engado</w:t>
                  </w:r>
                </w:p>
              </w:tc>
            </w:tr>
            <w:tr w:rsidR="002334A7" w:rsidTr="00807CAB">
              <w:tc>
                <w:tcPr>
                  <w:tcW w:w="988" w:type="dxa"/>
                  <w:vAlign w:val="center"/>
                </w:tcPr>
                <w:p w:rsidR="002334A7" w:rsidRDefault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130107</w:t>
                  </w:r>
                </w:p>
              </w:tc>
              <w:tc>
                <w:tcPr>
                  <w:tcW w:w="1134" w:type="dxa"/>
                  <w:vAlign w:val="bottom"/>
                </w:tcPr>
                <w:p w:rsidR="002334A7" w:rsidRDefault="002334A7" w:rsidP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</w:t>
                  </w:r>
                  <w:r w:rsidR="009D29E6">
                    <w:rPr>
                      <w:rFonts w:ascii="Calibri" w:hAnsi="Calibri" w:cs="Calibri"/>
                      <w:color w:val="000000"/>
                      <w:szCs w:val="22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</w:t>
                  </w:r>
                </w:p>
              </w:tc>
              <w:tc>
                <w:tcPr>
                  <w:tcW w:w="4819" w:type="dxa"/>
                  <w:vAlign w:val="bottom"/>
                </w:tcPr>
                <w:p w:rsidR="002334A7" w:rsidRDefault="002334A7" w:rsidP="00807CAB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VENTA DE BASES</w:t>
                  </w:r>
                </w:p>
              </w:tc>
              <w:tc>
                <w:tcPr>
                  <w:tcW w:w="1887" w:type="dxa"/>
                  <w:vAlign w:val="bottom"/>
                </w:tcPr>
                <w:p w:rsidR="002334A7" w:rsidRDefault="002334A7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87.290,95</w:t>
                  </w:r>
                </w:p>
              </w:tc>
            </w:tr>
            <w:tr w:rsidR="002334A7" w:rsidTr="00807CAB">
              <w:tc>
                <w:tcPr>
                  <w:tcW w:w="988" w:type="dxa"/>
                  <w:vAlign w:val="center"/>
                </w:tcPr>
                <w:p w:rsidR="002334A7" w:rsidRDefault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140205</w:t>
                  </w:r>
                </w:p>
              </w:tc>
              <w:tc>
                <w:tcPr>
                  <w:tcW w:w="1134" w:type="dxa"/>
                  <w:vAlign w:val="bottom"/>
                </w:tcPr>
                <w:p w:rsidR="002334A7" w:rsidRDefault="002334A7" w:rsidP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</w:t>
                  </w:r>
                  <w:r w:rsidR="009D29E6">
                    <w:rPr>
                      <w:rFonts w:ascii="Calibri" w:hAnsi="Calibri" w:cs="Calibri"/>
                      <w:color w:val="000000"/>
                      <w:szCs w:val="22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</w:t>
                  </w:r>
                </w:p>
              </w:tc>
              <w:tc>
                <w:tcPr>
                  <w:tcW w:w="4819" w:type="dxa"/>
                  <w:vAlign w:val="bottom"/>
                </w:tcPr>
                <w:p w:rsidR="002334A7" w:rsidRDefault="002334A7" w:rsidP="00807CAB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DE INSTRUMENTAL MEDICO MENOR, INSUMOS MEDICOS Y MEDICINAS</w:t>
                  </w:r>
                </w:p>
              </w:tc>
              <w:tc>
                <w:tcPr>
                  <w:tcW w:w="1887" w:type="dxa"/>
                  <w:vAlign w:val="bottom"/>
                </w:tcPr>
                <w:p w:rsidR="002334A7" w:rsidRDefault="002334A7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141.010,50</w:t>
                  </w:r>
                </w:p>
              </w:tc>
            </w:tr>
            <w:tr w:rsidR="002334A7" w:rsidTr="00807CAB">
              <w:tc>
                <w:tcPr>
                  <w:tcW w:w="988" w:type="dxa"/>
                  <w:vAlign w:val="center"/>
                </w:tcPr>
                <w:p w:rsidR="002334A7" w:rsidRDefault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140399</w:t>
                  </w:r>
                </w:p>
              </w:tc>
              <w:tc>
                <w:tcPr>
                  <w:tcW w:w="1134" w:type="dxa"/>
                  <w:vAlign w:val="bottom"/>
                </w:tcPr>
                <w:p w:rsidR="002334A7" w:rsidRDefault="002334A7" w:rsidP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</w:t>
                  </w:r>
                  <w:r w:rsidR="009D29E6">
                    <w:rPr>
                      <w:rFonts w:ascii="Calibri" w:hAnsi="Calibri" w:cs="Calibri"/>
                      <w:color w:val="000000"/>
                      <w:szCs w:val="22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</w:t>
                  </w:r>
                </w:p>
              </w:tc>
              <w:tc>
                <w:tcPr>
                  <w:tcW w:w="4819" w:type="dxa"/>
                  <w:vAlign w:val="bottom"/>
                </w:tcPr>
                <w:p w:rsidR="002334A7" w:rsidRDefault="002334A7" w:rsidP="00807CAB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TECNICOS Y ESPECIALIZADOS</w:t>
                  </w:r>
                </w:p>
              </w:tc>
              <w:tc>
                <w:tcPr>
                  <w:tcW w:w="1887" w:type="dxa"/>
                  <w:vAlign w:val="bottom"/>
                </w:tcPr>
                <w:p w:rsidR="002334A7" w:rsidRDefault="002334A7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1.061.662,52</w:t>
                  </w:r>
                </w:p>
              </w:tc>
            </w:tr>
            <w:tr w:rsidR="002334A7" w:rsidTr="00807CAB">
              <w:tc>
                <w:tcPr>
                  <w:tcW w:w="988" w:type="dxa"/>
                  <w:vAlign w:val="center"/>
                </w:tcPr>
                <w:p w:rsidR="002334A7" w:rsidRDefault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140402</w:t>
                  </w:r>
                </w:p>
              </w:tc>
              <w:tc>
                <w:tcPr>
                  <w:tcW w:w="1134" w:type="dxa"/>
                  <w:vAlign w:val="bottom"/>
                </w:tcPr>
                <w:p w:rsidR="002334A7" w:rsidRDefault="002334A7" w:rsidP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</w:t>
                  </w:r>
                  <w:r w:rsidR="009D29E6">
                    <w:rPr>
                      <w:rFonts w:ascii="Calibri" w:hAnsi="Calibri" w:cs="Calibri"/>
                      <w:color w:val="000000"/>
                      <w:szCs w:val="22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</w:t>
                  </w:r>
                </w:p>
              </w:tc>
              <w:tc>
                <w:tcPr>
                  <w:tcW w:w="4819" w:type="dxa"/>
                  <w:vAlign w:val="bottom"/>
                </w:tcPr>
                <w:p w:rsidR="002334A7" w:rsidRDefault="002334A7" w:rsidP="00807CAB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INDUSTRIALES</w:t>
                  </w:r>
                </w:p>
              </w:tc>
              <w:tc>
                <w:tcPr>
                  <w:tcW w:w="1887" w:type="dxa"/>
                  <w:vAlign w:val="bottom"/>
                </w:tcPr>
                <w:p w:rsidR="002334A7" w:rsidRDefault="002334A7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3.455,61</w:t>
                  </w:r>
                </w:p>
              </w:tc>
            </w:tr>
            <w:tr w:rsidR="002334A7" w:rsidTr="00807CAB">
              <w:tc>
                <w:tcPr>
                  <w:tcW w:w="988" w:type="dxa"/>
                  <w:vAlign w:val="center"/>
                </w:tcPr>
                <w:p w:rsidR="002334A7" w:rsidRDefault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170201</w:t>
                  </w:r>
                </w:p>
              </w:tc>
              <w:tc>
                <w:tcPr>
                  <w:tcW w:w="1134" w:type="dxa"/>
                  <w:vAlign w:val="bottom"/>
                </w:tcPr>
                <w:p w:rsidR="002334A7" w:rsidRDefault="002334A7" w:rsidP="002334A7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</w:t>
                  </w:r>
                  <w:r w:rsidR="009D29E6">
                    <w:rPr>
                      <w:rFonts w:ascii="Calibri" w:hAnsi="Calibri" w:cs="Calibri"/>
                      <w:color w:val="000000"/>
                      <w:szCs w:val="22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</w:t>
                  </w:r>
                </w:p>
              </w:tc>
              <w:tc>
                <w:tcPr>
                  <w:tcW w:w="4819" w:type="dxa"/>
                  <w:vAlign w:val="bottom"/>
                </w:tcPr>
                <w:p w:rsidR="002334A7" w:rsidRDefault="002334A7" w:rsidP="00807CAB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TERRENOS EDIFICIOS LOCALES Y RESIDENCIAS</w:t>
                  </w:r>
                </w:p>
              </w:tc>
              <w:tc>
                <w:tcPr>
                  <w:tcW w:w="1887" w:type="dxa"/>
                  <w:vAlign w:val="bottom"/>
                </w:tcPr>
                <w:p w:rsidR="002334A7" w:rsidRDefault="002334A7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63.030,44</w:t>
                  </w:r>
                </w:p>
              </w:tc>
            </w:tr>
            <w:tr w:rsidR="00807CAB" w:rsidTr="007266B5">
              <w:tc>
                <w:tcPr>
                  <w:tcW w:w="6941" w:type="dxa"/>
                  <w:gridSpan w:val="3"/>
                  <w:vAlign w:val="center"/>
                </w:tcPr>
                <w:p w:rsidR="00807CAB" w:rsidRPr="00807CAB" w:rsidRDefault="00807CAB" w:rsidP="0062210E">
                  <w:pPr>
                    <w:ind w:firstLineChars="400" w:firstLine="964"/>
                    <w:jc w:val="right"/>
                    <w:rPr>
                      <w:rFonts w:ascii="Calibri" w:hAnsi="Calibri" w:cs="Calibri"/>
                      <w:b/>
                      <w:color w:val="000000"/>
                      <w:szCs w:val="22"/>
                    </w:rPr>
                  </w:pPr>
                  <w:r w:rsidRPr="00807CAB">
                    <w:rPr>
                      <w:rFonts w:ascii="Calibri" w:hAnsi="Calibri" w:cs="Calibri"/>
                      <w:b/>
                      <w:color w:val="000000"/>
                      <w:szCs w:val="22"/>
                    </w:rPr>
                    <w:t>Total</w:t>
                  </w:r>
                </w:p>
              </w:tc>
              <w:tc>
                <w:tcPr>
                  <w:tcW w:w="1887" w:type="dxa"/>
                  <w:vAlign w:val="bottom"/>
                </w:tcPr>
                <w:p w:rsidR="00807CAB" w:rsidRPr="00690D15" w:rsidRDefault="00B4594B">
                  <w:pPr>
                    <w:jc w:val="right"/>
                    <w:rPr>
                      <w:rFonts w:ascii="Calibri" w:hAnsi="Calibri" w:cs="Calibri"/>
                      <w:b/>
                      <w:color w:val="000000"/>
                      <w:szCs w:val="22"/>
                    </w:rPr>
                  </w:pPr>
                  <w:r w:rsidRPr="00690D15">
                    <w:rPr>
                      <w:rFonts w:ascii="Calibri" w:hAnsi="Calibri" w:cs="Calibri"/>
                      <w:b/>
                      <w:color w:val="000000"/>
                      <w:szCs w:val="22"/>
                    </w:rPr>
                    <w:t>1.356.450,02</w:t>
                  </w:r>
                </w:p>
              </w:tc>
            </w:tr>
          </w:tbl>
          <w:p w:rsidR="00A61FB1" w:rsidRPr="00405474" w:rsidRDefault="00A61FB1" w:rsidP="00A61FB1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 w:rsidRPr="00A61FB1">
              <w:rPr>
                <w:rFonts w:asciiTheme="minorHAnsi" w:hAnsiTheme="minorHAnsi" w:cs="Arial"/>
                <w:szCs w:val="22"/>
              </w:rPr>
              <w:t>El</w:t>
            </w:r>
            <w:r w:rsidRPr="00405474">
              <w:rPr>
                <w:rFonts w:asciiTheme="minorHAnsi" w:hAnsiTheme="minorHAnsi" w:cs="Arial"/>
                <w:szCs w:val="22"/>
              </w:rPr>
              <w:t xml:space="preserve"> valor obtenido de la sumatoria de las partidas presupuestarias correspondientes a P.11 debe ser convertida a miles de dólares aplicando la siguiente fórmula:</w:t>
            </w:r>
          </w:p>
          <w:p w:rsidR="00A61FB1" w:rsidRPr="00405474" w:rsidRDefault="00A61FB1" w:rsidP="00A61FB1">
            <w:pPr>
              <w:spacing w:before="120" w:after="120"/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</w:pPr>
            <w:r w:rsidRPr="00405474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=ENTERO(((</w:t>
            </w:r>
            <w:r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1</w:t>
            </w:r>
            <w:r w:rsidRPr="001F7D41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. 3</w:t>
            </w:r>
            <w:r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56</w:t>
            </w:r>
            <w:r w:rsidRPr="001F7D41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.4</w:t>
            </w:r>
            <w:r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50</w:t>
            </w:r>
            <w:r w:rsidRPr="001F7D41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,</w:t>
            </w:r>
            <w:r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02</w:t>
            </w:r>
            <w:r w:rsidRPr="00405474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)/1000)+0,5)</w:t>
            </w:r>
          </w:p>
          <w:p w:rsidR="00A61FB1" w:rsidRPr="00405474" w:rsidRDefault="00A61FB1" w:rsidP="00A61FB1">
            <w:pPr>
              <w:spacing w:before="120" w:after="120"/>
              <w:rPr>
                <w:rFonts w:asciiTheme="minorHAnsi" w:hAnsiTheme="minorHAnsi" w:cs="Arial"/>
                <w:szCs w:val="22"/>
                <w:lang w:val="es-EC"/>
              </w:rPr>
            </w:pPr>
            <w:r w:rsidRPr="00405474">
              <w:rPr>
                <w:rFonts w:asciiTheme="minorHAnsi" w:hAnsiTheme="minorHAnsi" w:cs="Arial"/>
                <w:szCs w:val="22"/>
                <w:lang w:val="es-EC"/>
              </w:rPr>
              <w:t xml:space="preserve">= </w:t>
            </w:r>
            <w:r>
              <w:rPr>
                <w:rFonts w:asciiTheme="minorHAnsi" w:hAnsiTheme="minorHAnsi" w:cs="Arial"/>
                <w:szCs w:val="22"/>
                <w:lang w:val="es-EC"/>
              </w:rPr>
              <w:t>1</w:t>
            </w:r>
            <w:r w:rsidRPr="00405474">
              <w:rPr>
                <w:rFonts w:asciiTheme="minorHAnsi" w:hAnsiTheme="minorHAnsi" w:cs="Arial"/>
                <w:szCs w:val="22"/>
                <w:lang w:val="es-EC"/>
              </w:rPr>
              <w:t>.</w:t>
            </w:r>
            <w:r>
              <w:rPr>
                <w:rFonts w:asciiTheme="minorHAnsi" w:hAnsiTheme="minorHAnsi" w:cs="Arial"/>
                <w:szCs w:val="22"/>
                <w:lang w:val="es-EC"/>
              </w:rPr>
              <w:t>356</w:t>
            </w:r>
            <w:r w:rsidRPr="00405474">
              <w:rPr>
                <w:rFonts w:asciiTheme="minorHAnsi" w:hAnsiTheme="minorHAnsi" w:cs="Arial"/>
                <w:szCs w:val="22"/>
                <w:lang w:val="es-EC"/>
              </w:rPr>
              <w:t xml:space="preserve"> valores que se coloca en la cuenta corriente, como se observa en el punto 3. “Estructura de la cuenta”.</w:t>
            </w:r>
          </w:p>
          <w:p w:rsidR="00A61FB1" w:rsidRPr="001760C9" w:rsidRDefault="00A61FB1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 xml:space="preserve">P.12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Producción para uso final propio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Pr="00603C5F" w:rsidRDefault="00603C5F" w:rsidP="005E3C40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 aplica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P.13 </w:t>
            </w:r>
            <w:r w:rsidRPr="00080CCB">
              <w:rPr>
                <w:rFonts w:asciiTheme="minorHAnsi" w:hAnsiTheme="minorHAnsi" w:cs="Arial"/>
                <w:b/>
                <w:szCs w:val="22"/>
              </w:rPr>
              <w:t>Otra producción no de mercado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vAlign w:val="center"/>
          </w:tcPr>
          <w:p w:rsidR="003229B0" w:rsidRPr="003229B0" w:rsidRDefault="003229B0" w:rsidP="003229B0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D84E7C" w:rsidRDefault="0062210E" w:rsidP="00D84E7C">
            <w:pPr>
              <w:spacing w:before="120" w:after="120"/>
              <w:rPr>
                <w:rFonts w:asciiTheme="minorHAnsi" w:eastAsiaTheme="minorEastAsia" w:hAnsiTheme="minorHAnsi" w:cs="Arial"/>
                <w:noProof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2088515</wp:posOffset>
                      </wp:positionH>
                      <wp:positionV relativeFrom="paragraph">
                        <wp:posOffset>-3175</wp:posOffset>
                      </wp:positionV>
                      <wp:extent cx="114300" cy="356870"/>
                      <wp:effectExtent l="5080" t="13335" r="9525" b="5715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14300" cy="356870"/>
                              </a:xfrm>
                              <a:prstGeom prst="leftBrace">
                                <a:avLst>
                                  <a:gd name="adj1" fmla="val 2601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87" style="position:absolute;margin-left:164.45pt;margin-top:-.25pt;width:9pt;height:28.1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"/>
                  </w:pict>
                </mc:Fallback>
              </mc:AlternateContent>
            </w:r>
            <w:r>
              <w:rPr>
                <w:rFonts w:asciiTheme="minorHAnsi" w:eastAsiaTheme="minorEastAsia" w:hAnsiTheme="minorHAnsi" w:cs="Arial"/>
                <w:b/>
                <w:bCs/>
                <w:noProof/>
                <w:color w:val="000000"/>
                <w:szCs w:val="22"/>
                <w:lang w:val="es-EC" w:eastAsia="es-EC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-442595</wp:posOffset>
                      </wp:positionV>
                      <wp:extent cx="114300" cy="1316355"/>
                      <wp:effectExtent l="6350" t="6350" r="10795" b="1270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14300" cy="1316355"/>
                              </a:xfrm>
                              <a:prstGeom prst="leftBrace">
                                <a:avLst>
                                  <a:gd name="adj1" fmla="val 95972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87" style="position:absolute;margin-left:90.6pt;margin-top:-34.85pt;width:9pt;height:103.6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"/>
                  </w:pict>
                </mc:Fallback>
              </mc:AlternateConten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="Arial"/>
                  <w:color w:val="000000"/>
                  <w:szCs w:val="22"/>
                </w:rPr>
                <m:t>P.13</m:t>
              </m:r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Arial"/>
                      <w:i/>
                      <w:color w:val="000000"/>
                      <w:szCs w:val="22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HAnsi" w:hAnsi="Cambria Math" w:cs="Arial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 w:cs="Arial"/>
                          <w:color w:val="000000"/>
                          <w:szCs w:val="22"/>
                        </w:rPr>
                        <m:t>P.2+D.1+D.29</m:t>
                      </m:r>
                    </m:e>
                  </m:d>
                  <m:r>
                    <w:rPr>
                      <w:rFonts w:ascii="Cambria Math" w:eastAsiaTheme="minorHAnsi" w:hAnsi="Cambria Math" w:cs="Arial"/>
                      <w:color w:val="000000"/>
                      <w:szCs w:val="22"/>
                    </w:rPr>
                    <m:t>-P.11</m:t>
                  </m:r>
                </m:e>
              </m:d>
              <m:r>
                <w:rPr>
                  <w:rFonts w:ascii="Cambria Math" w:eastAsiaTheme="minorHAnsi" w:hAnsi="Cambria Math" w:cs="Arial"/>
                  <w:color w:val="000000"/>
                  <w:szCs w:val="22"/>
                </w:rPr>
                <m:t>+P.51c</m:t>
              </m:r>
            </m:oMath>
          </w:p>
          <w:p w:rsidR="00E07B91" w:rsidRPr="00E07B91" w:rsidRDefault="00E07B91" w:rsidP="00D84E7C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  <w:t xml:space="preserve">               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variables empleos  </w:t>
            </w:r>
            <w:r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     </w:t>
            </w:r>
            <w:r w:rsidRPr="003220F3">
              <w:rPr>
                <w:rFonts w:asciiTheme="minorHAnsi" w:eastAsiaTheme="minorEastAsia" w:hAnsiTheme="minorHAnsi" w:cs="Arial"/>
                <w:bCs/>
                <w:color w:val="000000"/>
                <w:sz w:val="18"/>
                <w:szCs w:val="22"/>
              </w:rPr>
              <w:t xml:space="preserve">  variables recursos</w:t>
            </w:r>
          </w:p>
          <w:p w:rsidR="00D84E7C" w:rsidRPr="00D84E7C" w:rsidRDefault="00D84E7C" w:rsidP="00D84E7C">
            <w:pPr>
              <w:spacing w:before="120" w:after="120"/>
              <w:rPr>
                <w:rFonts w:asciiTheme="minorHAnsi" w:eastAsiaTheme="minorEastAsia" w:hAnsiTheme="minorHAnsi" w:cs="Arial"/>
                <w:bCs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color w:val="000000"/>
                            <w:szCs w:val="22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Consumo intermedio</m:t>
                        </m:r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Remuneración de los empleados</m:t>
                        </m:r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000000"/>
                            <w:szCs w:val="22"/>
                          </w:rPr>
                          <m:t>Otros impuestos sobre la producción</m:t>
                        </m:r>
                      </m:e>
                    </m:d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000000"/>
                        <w:szCs w:val="22"/>
                      </w:rPr>
                      <m:t>Producción de mercado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000000"/>
                    <w:szCs w:val="22"/>
                  </w:rPr>
                  <m:t>Consumo de capital fijo</m:t>
                </m:r>
              </m:oMath>
            </m:oMathPara>
          </w:p>
          <w:p w:rsidR="007B36A2" w:rsidRPr="00E07B91" w:rsidRDefault="00E07B91" w:rsidP="00E07B91">
            <w:pPr>
              <w:spacing w:before="120" w:after="120"/>
              <w:rPr>
                <w:rFonts w:asciiTheme="minorHAnsi" w:hAnsiTheme="minorHAnsi" w:cs="Arial"/>
                <w:color w:val="000000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Arial"/>
                        <w:i/>
                        <w:color w:val="000000"/>
                        <w:szCs w:val="22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HAnsi" w:hAnsi="Cambria Math" w:cs="Arial"/>
                            <w:i/>
                            <w:color w:val="000000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HAnsi" w:hAnsi="Cambria Math" w:cs="Arial"/>
                            <w:color w:val="000000"/>
                            <w:szCs w:val="22"/>
                          </w:rPr>
                          <m:t>3.398+16.326+2</m:t>
                        </m:r>
                      </m:e>
                    </m:d>
                    <m:r>
                      <w:rPr>
                        <w:rFonts w:ascii="Cambria Math" w:eastAsiaTheme="minorHAnsi" w:hAnsi="Cambria Math" w:cs="Arial"/>
                        <w:color w:val="000000"/>
                        <w:szCs w:val="22"/>
                      </w:rPr>
                      <m:t>-1.356</m:t>
                    </m:r>
                  </m:e>
                </m:d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+852</m:t>
                </m:r>
              </m:oMath>
            </m:oMathPara>
          </w:p>
          <w:p w:rsidR="00E07B91" w:rsidRPr="00E07B91" w:rsidRDefault="00E07B91" w:rsidP="00E07B91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P.13</m:t>
                </m:r>
                <m:r>
                  <w:rPr>
                    <w:rFonts w:ascii="Cambria Math" w:eastAsiaTheme="minorHAnsi" w:hAnsi="Cambria Math" w:cs="Arial"/>
                    <w:color w:val="000000"/>
                    <w:szCs w:val="22"/>
                  </w:rPr>
                  <m:t>=19.222</m:t>
                </m:r>
              </m:oMath>
            </m:oMathPara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866B13" w:rsidRDefault="00866B1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  <w:u w:val="single"/>
              </w:rPr>
            </w:pPr>
            <w:r w:rsidRPr="00866B13">
              <w:rPr>
                <w:rFonts w:asciiTheme="minorHAnsi" w:hAnsiTheme="minorHAnsi" w:cs="Arial"/>
                <w:b/>
                <w:szCs w:val="22"/>
                <w:u w:val="single"/>
              </w:rPr>
              <w:t>EMPLEOS</w:t>
            </w:r>
          </w:p>
        </w:tc>
      </w:tr>
      <w:tr w:rsidR="00866B13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866B13" w:rsidRPr="00080CCB" w:rsidRDefault="00866B13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szCs w:val="22"/>
              </w:rPr>
              <w:t>P.2 Consumo intermedio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229B0" w:rsidRDefault="003229B0" w:rsidP="003229B0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Una vez codificada las partidas presupuestarias de la base de</w:t>
            </w:r>
            <w:r w:rsidR="00A36E9F">
              <w:rPr>
                <w:rFonts w:asciiTheme="minorHAnsi" w:hAnsiTheme="minorHAnsi" w:cs="Arial"/>
                <w:szCs w:val="22"/>
              </w:rPr>
              <w:t>l gasto</w:t>
            </w:r>
            <w:r>
              <w:rPr>
                <w:rFonts w:asciiTheme="minorHAnsi" w:hAnsiTheme="minorHAnsi" w:cs="Arial"/>
                <w:szCs w:val="22"/>
              </w:rPr>
              <w:t xml:space="preserve"> de acuerdo al catálogo de cuentas nacionales,  se filtra todas las variables correspondientes a la P.2 obteniendo un total como se observa en el siguiente cuadro:</w:t>
            </w:r>
          </w:p>
          <w:tbl>
            <w:tblPr>
              <w:tblStyle w:val="Tablaconcuadrcula"/>
              <w:tblW w:w="8828" w:type="dxa"/>
              <w:tblLook w:val="04A0" w:firstRow="1" w:lastRow="0" w:firstColumn="1" w:lastColumn="0" w:noHBand="0" w:noVBand="1"/>
            </w:tblPr>
            <w:tblGrid>
              <w:gridCol w:w="988"/>
              <w:gridCol w:w="992"/>
              <w:gridCol w:w="4961"/>
              <w:gridCol w:w="1887"/>
            </w:tblGrid>
            <w:tr w:rsidR="003229B0" w:rsidTr="00E95665">
              <w:tc>
                <w:tcPr>
                  <w:tcW w:w="988" w:type="dxa"/>
                  <w:shd w:val="clear" w:color="auto" w:fill="F2F2F2" w:themeFill="background1" w:themeFillShade="F2"/>
                  <w:vAlign w:val="center"/>
                </w:tcPr>
                <w:p w:rsidR="003229B0" w:rsidRPr="003229B0" w:rsidRDefault="003229B0" w:rsidP="007266B5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Partida</w:t>
                  </w: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:rsidR="003229B0" w:rsidRPr="003229B0" w:rsidRDefault="003229B0" w:rsidP="007266B5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Cód. CN</w:t>
                  </w:r>
                </w:p>
              </w:tc>
              <w:tc>
                <w:tcPr>
                  <w:tcW w:w="4961" w:type="dxa"/>
                  <w:shd w:val="clear" w:color="auto" w:fill="F2F2F2" w:themeFill="background1" w:themeFillShade="F2"/>
                  <w:vAlign w:val="center"/>
                </w:tcPr>
                <w:p w:rsidR="003229B0" w:rsidRPr="003229B0" w:rsidRDefault="003229B0" w:rsidP="007266B5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Detalle</w:t>
                  </w:r>
                </w:p>
              </w:tc>
              <w:tc>
                <w:tcPr>
                  <w:tcW w:w="1887" w:type="dxa"/>
                  <w:shd w:val="clear" w:color="auto" w:fill="F2F2F2" w:themeFill="background1" w:themeFillShade="F2"/>
                  <w:vAlign w:val="center"/>
                </w:tcPr>
                <w:p w:rsidR="003229B0" w:rsidRPr="003229B0" w:rsidRDefault="003229B0" w:rsidP="007266B5">
                  <w:pPr>
                    <w:jc w:val="center"/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</w:pPr>
                  <w:r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Valor dev</w:t>
                  </w:r>
                  <w:r w:rsidRPr="003229B0">
                    <w:rPr>
                      <w:rFonts w:ascii="Calibri" w:hAnsi="Calibri"/>
                      <w:b/>
                      <w:color w:val="000000"/>
                      <w:szCs w:val="22"/>
                      <w:lang w:val="es-EC" w:eastAsia="es-EC"/>
                    </w:rPr>
                    <w:t>engado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3417,87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8068,09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21188,09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15780,02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Transporte de Personal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4687,5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Fletes y maniobras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490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2716,9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11540,52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4402,51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2209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14869,35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81203,68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Exterior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3987,3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103445,77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 en el Exterior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4007,73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405123,68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770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1178,11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Otras Inst. Manten. y Reparaciones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489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Consultoría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Asesoría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Investigación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Especializad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199580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Auditoria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22931,34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41326,84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Fiscalización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Inspecciones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Técnicas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Estudio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diseño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proyectos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Desarrollo de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6898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4762,6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793,57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42034,02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1170,3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ALIMENTACION SERVIDORES Y TRABAJADORES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31771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4800,87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14537,57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8739,59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6003,92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2050,87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3541,72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3918,48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539901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Asignaciones a distribuir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949,26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Otros gastos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operación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455,85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802,58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1209,91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1954,08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1531,2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1657,3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10000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7459,26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7163,19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2380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3343,49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9666,37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13157,5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3896,78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320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447,87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4342,72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886,1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1538,81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1453,07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176,13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167,31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141,27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522,81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389,93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570203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Gastos servicios bancarios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33,2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66,03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1838,12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1807,9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545,43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198,59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4442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240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15349,1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452,52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13418,75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2520,49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577,83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983,58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Edificios, Locales y Residencias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2600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1130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480,99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5259,69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ALIMENTACION SERVIDORES Y TRABAJADORES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2456,91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3788,19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998,54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Herramientas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147,32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2714,6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48,66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1259,43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187,52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423,25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570203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Gastos servicios bancarios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95,35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1132,47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3079,8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509,24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Transporte de Personal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2740,99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979,07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5810,1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3374,78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4838,6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Mudanzas e Instalaciones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1376,14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175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241,1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Edificios, Locales y Residencias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9120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Desarrollo de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1336,44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17,72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ALIMENTACION SERVIDORES Y TRABAJADORES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892,02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681,64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218,37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1026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133,29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112,37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169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167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570203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Gastos servicios bancarios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90,1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5791,27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14162,11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8021,46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3149,31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Transporte de Personal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2738,86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11316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39955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670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9400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5150,41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4548,5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5265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288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2368,55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1007,37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2434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15410,99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Fiscalización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Inspecciones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Técnicas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Estudio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diseño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proyectos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Desarrollo de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1870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1465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2477,37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15557,5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ALIMENTACION SERVIDORES Y TRABAJADORES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18830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675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2063,1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2491,7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2057,69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12301,64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1859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232,96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438,9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381,57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472,81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513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384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4633,08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10994,8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Edificios, Locales y Residencias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Paquet.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1683,52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594,32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314,39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223,37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700,66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697,43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875,55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1130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4326,95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682,8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780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5404,52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9987,5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4725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351,02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129,96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680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Fiscalización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Inspecciones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Técnicas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Estudio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diseño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proyectos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58,04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626,36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436,67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993,34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916,73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367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132,52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663,8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3684,32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414,82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2379,36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2388,28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6517,8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312,4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4793,7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8066,25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530305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Mudanzas e Instalaciones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6554,22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915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1499,86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Edificios, Locales y Residencias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maquinarias 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2722,18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Fiscalización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Inspecciones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Técnicas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1442,68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6423,77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4559,98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2983,62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186,9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2018,51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1557,33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3500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5849,46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2161,69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Transporte de Personal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2640,5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10446,45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5235,36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6000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5652,08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186,93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4986,86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5936,84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Mudanzas e Instalaciones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4030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35957,66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Mobiliarios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3505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448,66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1102,62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Otras Inst. Manten. y Reparaciones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Edificios, Locales y Residencias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Consultoría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Asesoría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Investigación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Especializad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22436,7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11140,55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Congresos, seminarios y convenciones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8572,52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Desarrollo de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4654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Arrendamiento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2138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Conservación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de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(Ha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1770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3937,71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13780,71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Alimentos y bebidas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433,57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ALIMENTACION SERVIDORES Y TRABAJADORES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18837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225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2070,75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23357,47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4629,56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Herramientas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14,4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2757,84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1207,7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1005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3150,64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910,68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570203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Gastos servicios bancarios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733,9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Agua potable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Energía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eléctrica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564,35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1942,01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530106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Correo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1160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Edición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1497,91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643,32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530208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Seguridad y Vigilancia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4985,01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530210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Guardería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Pasajes al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837,96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Viáticos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Subsistencias en el Interior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15205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530305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Mudanzas e Instalaciones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559,76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Otras Inst. Manten. y Reparaciones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237,32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530502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Edificios, Locales y Residencias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13075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1687,22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Arrendamiento y/o Compra Licenc. de uso de Paquet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lastRenderedPageBreak/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Mantenimiento sistemas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(Software)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27,32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para equipos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211,53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530704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Materiales y suministros de uso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informático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3257,79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Uniformes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Combustibles y lubricantes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877,28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oficina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1288,52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Materiales de aseo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312,79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Mater.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impresión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fotografía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reproducción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Material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construcción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eléctricos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, plom. y carp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Repuestos y accesorios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vehículos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530813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Repuestos y accesorios de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530899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de uso y consumo corriente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275,99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530105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Telecomunicaciones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119019,94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Fletes y maniobras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530207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Difusión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información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y publicidad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1269662,8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530299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Otros servicios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151500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Edificios, Locales y Re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530404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Inst. Manten. y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Reparación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Maquinarias y equipos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530601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5323AC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Consultoría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,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Asesoría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 </w:t>
                  </w: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Investigación</w:t>
                  </w:r>
                  <w:r w:rsidR="00690D15"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 Especializad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Servicio de Auditoria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530603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 xml:space="preserve">Servicio de </w:t>
                  </w:r>
                  <w:r w:rsidR="005323AC">
                    <w:rPr>
                      <w:rFonts w:ascii="Calibri" w:hAnsi="Calibri" w:cs="Calibri"/>
                      <w:color w:val="000000"/>
                      <w:szCs w:val="22"/>
                    </w:rPr>
                    <w:t>Capacitación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0</w:t>
                  </w:r>
                </w:p>
              </w:tc>
            </w:tr>
            <w:tr w:rsidR="00690D15" w:rsidTr="00E95665">
              <w:tc>
                <w:tcPr>
                  <w:tcW w:w="988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570102</w:t>
                  </w:r>
                </w:p>
              </w:tc>
              <w:tc>
                <w:tcPr>
                  <w:tcW w:w="992" w:type="dxa"/>
                  <w:vAlign w:val="center"/>
                </w:tcPr>
                <w:p w:rsidR="00690D15" w:rsidRDefault="005323AC" w:rsidP="00690D15">
                  <w:pPr>
                    <w:jc w:val="center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P.2</w:t>
                  </w:r>
                </w:p>
              </w:tc>
              <w:tc>
                <w:tcPr>
                  <w:tcW w:w="4961" w:type="dxa"/>
                  <w:vAlign w:val="center"/>
                </w:tcPr>
                <w:p w:rsidR="00690D15" w:rsidRDefault="00690D15">
                  <w:pPr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Tasas Generales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Default="00690D15">
                  <w:pPr>
                    <w:jc w:val="right"/>
                    <w:rPr>
                      <w:rFonts w:ascii="Calibri" w:hAnsi="Calibri" w:cs="Calibri"/>
                      <w:color w:val="000000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Cs w:val="22"/>
                    </w:rPr>
                    <w:t>5899,66</w:t>
                  </w:r>
                </w:p>
              </w:tc>
            </w:tr>
            <w:tr w:rsidR="00690D15" w:rsidTr="00E95665">
              <w:trPr>
                <w:trHeight w:val="282"/>
              </w:trPr>
              <w:tc>
                <w:tcPr>
                  <w:tcW w:w="6941" w:type="dxa"/>
                  <w:gridSpan w:val="3"/>
                  <w:vAlign w:val="center"/>
                </w:tcPr>
                <w:p w:rsidR="00690D15" w:rsidRPr="00690D15" w:rsidRDefault="00690D15" w:rsidP="00690D15">
                  <w:pPr>
                    <w:spacing w:before="120" w:after="120"/>
                    <w:jc w:val="right"/>
                    <w:rPr>
                      <w:rFonts w:asciiTheme="minorHAnsi" w:hAnsiTheme="minorHAnsi" w:cs="Arial"/>
                      <w:b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Cs w:val="22"/>
                    </w:rPr>
                    <w:t>Total</w:t>
                  </w:r>
                </w:p>
              </w:tc>
              <w:tc>
                <w:tcPr>
                  <w:tcW w:w="1887" w:type="dxa"/>
                  <w:vAlign w:val="center"/>
                </w:tcPr>
                <w:p w:rsidR="00690D15" w:rsidRPr="00690D15" w:rsidRDefault="00690D15" w:rsidP="00690D15">
                  <w:pPr>
                    <w:spacing w:before="120" w:after="120"/>
                    <w:jc w:val="right"/>
                    <w:rPr>
                      <w:rFonts w:asciiTheme="minorHAnsi" w:hAnsiTheme="minorHAnsi" w:cs="Arial"/>
                      <w:b/>
                      <w:szCs w:val="22"/>
                    </w:rPr>
                  </w:pPr>
                  <w:r w:rsidRPr="00690D15">
                    <w:rPr>
                      <w:rFonts w:asciiTheme="minorHAnsi" w:hAnsiTheme="minorHAnsi" w:cs="Arial"/>
                      <w:b/>
                      <w:szCs w:val="22"/>
                    </w:rPr>
                    <w:t>3.398.261,87</w:t>
                  </w:r>
                </w:p>
              </w:tc>
            </w:tr>
          </w:tbl>
          <w:p w:rsidR="005323AC" w:rsidRPr="00405474" w:rsidRDefault="005323AC" w:rsidP="005323AC">
            <w:pPr>
              <w:spacing w:before="120" w:after="120"/>
              <w:rPr>
                <w:rFonts w:asciiTheme="minorHAnsi" w:hAnsiTheme="minorHAnsi" w:cs="Arial"/>
                <w:szCs w:val="22"/>
              </w:rPr>
            </w:pPr>
            <w:r w:rsidRPr="005323AC">
              <w:rPr>
                <w:rFonts w:asciiTheme="minorHAnsi" w:hAnsiTheme="minorHAnsi" w:cs="Arial"/>
                <w:szCs w:val="22"/>
              </w:rPr>
              <w:t>El</w:t>
            </w:r>
            <w:r w:rsidRPr="00405474">
              <w:rPr>
                <w:rFonts w:asciiTheme="minorHAnsi" w:hAnsiTheme="minorHAnsi" w:cs="Arial"/>
                <w:szCs w:val="22"/>
              </w:rPr>
              <w:t xml:space="preserve"> valor obtenido de la sumatoria de las partidas presup</w:t>
            </w:r>
            <w:r>
              <w:rPr>
                <w:rFonts w:asciiTheme="minorHAnsi" w:hAnsiTheme="minorHAnsi" w:cs="Arial"/>
                <w:szCs w:val="22"/>
              </w:rPr>
              <w:t>uestarias correspondientes a P.2</w:t>
            </w:r>
            <w:r w:rsidRPr="00405474">
              <w:rPr>
                <w:rFonts w:asciiTheme="minorHAnsi" w:hAnsiTheme="minorHAnsi" w:cs="Arial"/>
                <w:szCs w:val="22"/>
              </w:rPr>
              <w:t xml:space="preserve"> debe ser convertida a miles de dólares aplicando la siguiente fórmula:</w:t>
            </w:r>
          </w:p>
          <w:p w:rsidR="005323AC" w:rsidRPr="00405474" w:rsidRDefault="005323AC" w:rsidP="005323AC">
            <w:pPr>
              <w:spacing w:before="120" w:after="120"/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</w:pPr>
            <w:r w:rsidRPr="00405474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=ENTERO(((</w:t>
            </w:r>
            <w:r w:rsidRPr="00690D15">
              <w:rPr>
                <w:rFonts w:asciiTheme="minorHAnsi" w:hAnsiTheme="minorHAnsi" w:cs="Arial"/>
                <w:b/>
                <w:szCs w:val="22"/>
              </w:rPr>
              <w:t>3.398.261,87</w:t>
            </w:r>
            <w:r w:rsidRPr="00405474">
              <w:rPr>
                <w:rFonts w:asciiTheme="minorHAnsi" w:hAnsiTheme="minorHAnsi"/>
                <w:b/>
                <w:bCs/>
                <w:color w:val="000000"/>
                <w:szCs w:val="22"/>
                <w:lang w:val="es-EC" w:eastAsia="es-EC"/>
              </w:rPr>
              <w:t>)/1000)+0,5)</w:t>
            </w:r>
          </w:p>
          <w:p w:rsidR="005323AC" w:rsidRPr="00080CCB" w:rsidRDefault="005323AC" w:rsidP="007454AD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 w:rsidRPr="00405474">
              <w:rPr>
                <w:rFonts w:asciiTheme="minorHAnsi" w:hAnsiTheme="minorHAnsi" w:cs="Arial"/>
                <w:szCs w:val="22"/>
                <w:lang w:val="es-EC"/>
              </w:rPr>
              <w:t>=</w:t>
            </w:r>
            <w:r w:rsidRPr="005323AC">
              <w:rPr>
                <w:rFonts w:asciiTheme="minorHAnsi" w:hAnsiTheme="minorHAnsi" w:cs="Arial"/>
                <w:szCs w:val="22"/>
              </w:rPr>
              <w:t>3.398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 w:rsidRPr="00405474">
              <w:rPr>
                <w:rFonts w:asciiTheme="minorHAnsi" w:hAnsiTheme="minorHAnsi" w:cs="Arial"/>
                <w:szCs w:val="22"/>
                <w:lang w:val="es-EC"/>
              </w:rPr>
              <w:t xml:space="preserve">valores que se coloca en la cuenta corriente, como se observa en el punto 3. </w:t>
            </w:r>
            <w:r w:rsidRPr="00405474">
              <w:rPr>
                <w:rFonts w:asciiTheme="minorHAnsi" w:hAnsiTheme="minorHAnsi" w:cs="Arial"/>
                <w:szCs w:val="22"/>
                <w:lang w:val="es-EC"/>
              </w:rPr>
              <w:lastRenderedPageBreak/>
              <w:t>“Estructura de la cuenta”.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lastRenderedPageBreak/>
              <w:t>B.1b Valor agregado bruto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4713AB" w:rsidRPr="004713AB" w:rsidRDefault="004713AB" w:rsidP="004713AB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=P.1-Ci</m:t>
                </m:r>
              </m:oMath>
            </m:oMathPara>
          </w:p>
          <w:p w:rsidR="004713AB" w:rsidRPr="004713AB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VAB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=Producción-Consumo intermedio</m:t>
                </m:r>
              </m:oMath>
            </m:oMathPara>
          </w:p>
          <w:p w:rsidR="004713AB" w:rsidRPr="009F6F68" w:rsidRDefault="004713AB" w:rsidP="004713AB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VAB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=</m:t>
              </m:r>
            </m:oMath>
            <w:r w:rsidRPr="009F6F68">
              <w:rPr>
                <w:rFonts w:asciiTheme="minorHAnsi" w:hAnsiTheme="minorHAnsi"/>
                <w:color w:val="000000"/>
                <w:szCs w:val="22"/>
              </w:rPr>
              <w:t>20.578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-</m:t>
              </m:r>
            </m:oMath>
            <w:r w:rsidR="009F6F68" w:rsidRPr="009F6F68">
              <w:rPr>
                <w:rFonts w:asciiTheme="minorHAnsi" w:hAnsiTheme="minorHAnsi"/>
                <w:color w:val="000000"/>
                <w:szCs w:val="22"/>
              </w:rPr>
              <w:t>3.398</w:t>
            </w:r>
          </w:p>
          <w:p w:rsidR="00B81B15" w:rsidRPr="003841A1" w:rsidRDefault="004713AB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Cs w:val="22"/>
                </w:rPr>
                <m:t>VAB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2"/>
                </w:rPr>
                <m:t>=17.180</m:t>
              </m:r>
            </m:oMath>
            <w:r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Pr="00080CCB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P.51c </w:t>
            </w:r>
            <w:r w:rsidR="005455EC">
              <w:rPr>
                <w:rFonts w:asciiTheme="minorHAnsi" w:hAnsiTheme="minorHAnsi" w:cs="Arial"/>
                <w:b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/>
                <w:szCs w:val="22"/>
              </w:rPr>
              <w:t>Consumo de capital fijo</w:t>
            </w:r>
          </w:p>
        </w:tc>
      </w:tr>
      <w:tr w:rsidR="00B81B15" w:rsidRPr="00080CCB" w:rsidTr="00B81B15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B81B15" w:rsidRDefault="00603C5F" w:rsidP="005E3C40">
            <w:pPr>
              <w:spacing w:before="120" w:after="120"/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La metodología de cálculo para esta variable se la encuentra</w:t>
            </w:r>
            <w:r w:rsidR="003841A1"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detallada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 xml:space="preserve"> en la ficha metodológica de Consumo de capital fijo.</w:t>
            </w:r>
          </w:p>
          <w:p w:rsidR="003841A1" w:rsidRDefault="003841A1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</w:rPr>
              <w:t>CCF = 852</w:t>
            </w:r>
          </w:p>
        </w:tc>
      </w:tr>
      <w:tr w:rsidR="00B81B15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B81B15" w:rsidRDefault="00B81B15" w:rsidP="005E3C40">
            <w:pPr>
              <w:spacing w:before="120" w:after="120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B.1n Valor agregado neto</w:t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auto"/>
            <w:vAlign w:val="center"/>
          </w:tcPr>
          <w:p w:rsidR="003841A1" w:rsidRPr="004713AB" w:rsidRDefault="003841A1" w:rsidP="003841A1">
            <w:pPr>
              <w:spacing w:before="120" w:after="12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Esta variable se calcula de la siguiente manera:</w:t>
            </w:r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=VAB-CCF</m:t>
                </m:r>
              </m:oMath>
            </m:oMathPara>
          </w:p>
          <w:p w:rsidR="003841A1" w:rsidRPr="004713AB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 w:cs="Tahoma"/>
                <w:color w:val="000000"/>
                <w:position w:val="-1"/>
                <w:szCs w:val="22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VAN</m:t>
                </m:r>
                <m:r>
                  <w:rPr>
                    <w:rFonts w:ascii="Cambria Math" w:hAnsi="Cambria Math" w:cs="Tahoma"/>
                    <w:color w:val="000000"/>
                    <w:position w:val="-1"/>
                    <w:szCs w:val="22"/>
                  </w:rPr>
                  <m:t>=Valor agregado bruto- Consumo de capital fijo</m:t>
                </m:r>
              </m:oMath>
            </m:oMathPara>
          </w:p>
          <w:p w:rsidR="003841A1" w:rsidRPr="009F6F68" w:rsidRDefault="003841A1" w:rsidP="003841A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ind w:right="68"/>
              <w:jc w:val="both"/>
              <w:rPr>
                <w:rFonts w:asciiTheme="minorHAnsi" w:hAnsiTheme="minorHAnsi"/>
                <w:color w:val="000000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VAN</m:t>
              </m:r>
              <m: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=</m:t>
              </m:r>
            </m:oMath>
            <w:r>
              <w:rPr>
                <w:rFonts w:asciiTheme="minorHAnsi" w:hAnsiTheme="minorHAnsi"/>
                <w:color w:val="000000"/>
                <w:szCs w:val="22"/>
              </w:rPr>
              <w:t>17.180 - 852</w:t>
            </w:r>
          </w:p>
          <w:p w:rsidR="007D1F9A" w:rsidRPr="00080CCB" w:rsidRDefault="003841A1" w:rsidP="003841A1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ahoma"/>
                  <w:color w:val="000000"/>
                  <w:position w:val="-1"/>
                  <w:szCs w:val="22"/>
                </w:rPr>
                <m:t>VAN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2"/>
                </w:rPr>
                <m:t>=16.328</m:t>
              </m:r>
            </m:oMath>
            <w:r w:rsidRPr="00080CCB">
              <w:rPr>
                <w:rFonts w:asciiTheme="minorHAnsi" w:hAnsiTheme="minorHAnsi" w:cs="Tahoma"/>
                <w:color w:val="000000"/>
                <w:position w:val="-1"/>
                <w:szCs w:val="22"/>
              </w:rPr>
              <w:tab/>
            </w:r>
          </w:p>
        </w:tc>
      </w:tr>
      <w:tr w:rsidR="007B36A2" w:rsidRPr="00080CCB" w:rsidTr="00C332B3">
        <w:trPr>
          <w:jc w:val="center"/>
        </w:trPr>
        <w:tc>
          <w:tcPr>
            <w:tcW w:w="9054" w:type="dxa"/>
            <w:gridSpan w:val="4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 xml:space="preserve">7. </w:t>
            </w: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LIMITACIONES TÉCNICAS</w:t>
            </w:r>
          </w:p>
        </w:tc>
      </w:tr>
      <w:tr w:rsidR="007B36A2" w:rsidRPr="00080CCB" w:rsidTr="00A77452">
        <w:trPr>
          <w:jc w:val="center"/>
        </w:trPr>
        <w:tc>
          <w:tcPr>
            <w:tcW w:w="9054" w:type="dxa"/>
            <w:gridSpan w:val="4"/>
            <w:shd w:val="clear" w:color="auto" w:fill="FFFFFF" w:themeFill="background1"/>
            <w:vAlign w:val="center"/>
          </w:tcPr>
          <w:p w:rsidR="007B36A2" w:rsidRPr="007454AD" w:rsidRDefault="00113CD6" w:rsidP="007454AD">
            <w:pPr>
              <w:shd w:val="clear" w:color="auto" w:fill="FFFFFF" w:themeFill="background1"/>
              <w:spacing w:before="120" w:after="120"/>
              <w:jc w:val="both"/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</w:pPr>
            <w:r w:rsidRPr="00A7745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Las entidades que suministran la información de Base (registros administrativos), se nieguen a proporcionar  o  no entreg</w:t>
            </w:r>
            <w:r w:rsidR="00090053" w:rsidRPr="00A7745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ue</w:t>
            </w:r>
            <w:r w:rsidRPr="00A77452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n en tiempo establecido.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UNIDAD DE MEDIDA O EXPRESIÓN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Miles de dólares </w:t>
            </w:r>
          </w:p>
        </w:tc>
      </w:tr>
      <w:tr w:rsidR="007B36A2" w:rsidRPr="00080CCB" w:rsidTr="0009005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INTERPRETACIÓN DEL INDICADOR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326516" w:rsidRDefault="00BA5D47" w:rsidP="00C332B3">
            <w:pPr>
              <w:rPr>
                <w:rFonts w:asciiTheme="minorHAnsi" w:hAnsiTheme="minorHAnsi" w:cs="Arial"/>
                <w:szCs w:val="22"/>
                <w:lang w:val="es-EC"/>
              </w:rPr>
            </w:pPr>
            <w:r w:rsidRPr="00BA5D47">
              <w:rPr>
                <w:rFonts w:asciiTheme="minorHAnsi" w:hAnsiTheme="minorHAnsi" w:cs="Arial"/>
                <w:szCs w:val="22"/>
                <w:lang w:val="es-EC"/>
              </w:rPr>
              <w:t>No aplica</w:t>
            </w:r>
          </w:p>
        </w:tc>
      </w:tr>
      <w:tr w:rsidR="007B36A2" w:rsidRPr="00080CCB" w:rsidTr="0009005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lastRenderedPageBreak/>
              <w:t>FUENTE DE DATOS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8C5E29" w:rsidRPr="008C5E29" w:rsidRDefault="008C5E29" w:rsidP="008C5E29">
            <w:pPr>
              <w:spacing w:before="120" w:after="12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8C5E29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Instituto Ecuatoriano de Seguridad Social</w:t>
            </w:r>
          </w:p>
          <w:p w:rsidR="007B36A2" w:rsidRPr="00326516" w:rsidRDefault="008C5E29" w:rsidP="008C5E29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>Seguro General de Salud Individual y familiar</w:t>
            </w:r>
            <w:r>
              <w:rPr>
                <w:rFonts w:asciiTheme="minorHAnsi" w:eastAsiaTheme="minorHAnsi" w:hAnsiTheme="minorHAnsi" w:cs="Arial"/>
                <w:bCs/>
                <w:color w:val="000000"/>
                <w:szCs w:val="22"/>
                <w:lang w:val="es-EC"/>
              </w:rPr>
              <w:t xml:space="preserve"> (</w:t>
            </w:r>
            <w:r>
              <w:rPr>
                <w:rFonts w:asciiTheme="minorHAnsi" w:hAnsiTheme="minorHAnsi" w:cs="Arial"/>
                <w:szCs w:val="22"/>
              </w:rPr>
              <w:t>Presupuestos d</w:t>
            </w:r>
            <w:r w:rsidRPr="001B61DF">
              <w:rPr>
                <w:rFonts w:asciiTheme="minorHAnsi" w:hAnsiTheme="minorHAnsi" w:cs="Arial"/>
                <w:szCs w:val="22"/>
              </w:rPr>
              <w:t>evengados</w:t>
            </w:r>
            <w:r>
              <w:rPr>
                <w:rFonts w:asciiTheme="minorHAnsi" w:hAnsiTheme="minorHAnsi" w:cs="Arial"/>
                <w:szCs w:val="22"/>
              </w:rPr>
              <w:t>)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PERIODICIDAD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Anual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DISPONIBILIDAD DE LOS DATOS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8C5E29">
            <w:pPr>
              <w:jc w:val="both"/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Existe un riesgo al no disponer de un convenio con las Instituciones que entregan la información</w:t>
            </w:r>
            <w:r w:rsidR="008C5E29">
              <w:rPr>
                <w:rFonts w:asciiTheme="minorHAnsi" w:hAnsiTheme="minorHAnsi" w:cs="Arial"/>
                <w:szCs w:val="22"/>
              </w:rPr>
              <w:t>.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 w:val="restart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NIVEL DE</w:t>
            </w:r>
          </w:p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DESAGREGACIÓN</w:t>
            </w: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GEOGRÁFICO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7B36A2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Nacional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GENERAL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Sectores institucionales</w:t>
            </w:r>
          </w:p>
        </w:tc>
      </w:tr>
      <w:tr w:rsidR="007B36A2" w:rsidRPr="00080CCB" w:rsidTr="00EB3D0B">
        <w:trPr>
          <w:jc w:val="center"/>
        </w:trPr>
        <w:tc>
          <w:tcPr>
            <w:tcW w:w="3056" w:type="dxa"/>
            <w:vMerge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hAnsiTheme="minorHAnsi" w:cs="Arial"/>
                <w:b/>
                <w:bCs/>
                <w:szCs w:val="22"/>
              </w:rPr>
            </w:pPr>
          </w:p>
        </w:tc>
        <w:tc>
          <w:tcPr>
            <w:tcW w:w="2014" w:type="dxa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  <w:t>OTROS ÁMBITOS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8C5E29" w:rsidRDefault="00C55688" w:rsidP="008C5E29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</w:rPr>
              <w:t>Unidades institucionales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INFORMACIÓN GEO–REFERENCIADA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No</w:t>
            </w:r>
            <w:r w:rsidR="00C55688">
              <w:rPr>
                <w:rFonts w:asciiTheme="minorHAnsi" w:hAnsiTheme="minorHAnsi" w:cs="Arial"/>
                <w:szCs w:val="22"/>
              </w:rPr>
              <w:t xml:space="preserve"> aplica</w:t>
            </w: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RELACIÓN CON INSTRUMENTOS DE PLANIFICACIÓN NACIONAL E INTERNACIONAL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113CD6" w:rsidRPr="00951384" w:rsidRDefault="00113CD6" w:rsidP="0084105B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 xml:space="preserve">Es una herramienta estadística  importante para la formulación, implementación y evaluación de las políticas del gobierno, contribuye al cumplimiento de los objetivos del Plan Nacional del Buen Vivir 2013-2017. </w:t>
            </w:r>
          </w:p>
          <w:p w:rsidR="00113CD6" w:rsidRPr="00951384" w:rsidRDefault="00113CD6" w:rsidP="0084105B">
            <w:pPr>
              <w:spacing w:before="120" w:after="120"/>
              <w:mirrorIndents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951384">
              <w:rPr>
                <w:rFonts w:asciiTheme="minorHAnsi" w:hAnsiTheme="minorHAnsi" w:cs="Arial"/>
                <w:szCs w:val="22"/>
                <w:lang w:val="es-EC"/>
              </w:rPr>
              <w:t>El Objetivo 1 “Consolidar el Estado democrático y la construcción del poder popular” alineado a las Políticas y lineamientos estratégicos siguientes:</w:t>
            </w:r>
          </w:p>
          <w:p w:rsidR="007B36A2" w:rsidRPr="008C5E29" w:rsidRDefault="00113CD6" w:rsidP="0084105B">
            <w:pPr>
              <w:spacing w:before="120" w:after="120"/>
              <w:jc w:val="both"/>
              <w:rPr>
                <w:rFonts w:asciiTheme="minorHAnsi" w:hAnsiTheme="minorHAnsi" w:cs="Arial"/>
                <w:szCs w:val="22"/>
                <w:lang w:val="es-EC"/>
              </w:rPr>
            </w:pPr>
            <w:r w:rsidRPr="00257061">
              <w:rPr>
                <w:rFonts w:asciiTheme="minorHAnsi" w:eastAsia="Calibri" w:hAnsiTheme="minorHAnsi"/>
                <w:i/>
                <w:iCs/>
                <w:szCs w:val="22"/>
                <w:lang w:val="es-EC" w:eastAsia="es-EC"/>
              </w:rPr>
              <w:t>Objetivo 2</w:t>
            </w:r>
            <w:r w:rsidRPr="00257061">
              <w:rPr>
                <w:rFonts w:asciiTheme="minorHAnsi" w:eastAsia="Calibri" w:hAnsiTheme="minorHAnsi"/>
                <w:szCs w:val="22"/>
                <w:lang w:val="es-EC" w:eastAsia="es-EC"/>
              </w:rPr>
              <w:t>: “Auspiciar la igualdad, la cohesión, la inclusión y la equidad social y territorial, en la diversidad”</w:t>
            </w:r>
            <w:r w:rsidRPr="00951384">
              <w:rPr>
                <w:rFonts w:asciiTheme="minorHAnsi" w:hAnsiTheme="minorHAnsi" w:cs="Arial"/>
                <w:szCs w:val="22"/>
                <w:lang w:val="es-EC"/>
              </w:rPr>
              <w:t>.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bCs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REFERENCIAS BIBLIOGRÁFICAS DE LA CONSTRUCCIÓN DEL INDICADOR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E4291B" w:rsidP="00E4291B">
            <w:pPr>
              <w:rPr>
                <w:rFonts w:asciiTheme="minorHAnsi" w:hAnsiTheme="minorHAnsi" w:cs="Arial"/>
                <w:szCs w:val="22"/>
              </w:rPr>
            </w:pPr>
            <w:r w:rsidRPr="008C5E29">
              <w:rPr>
                <w:rFonts w:asciiTheme="minorHAnsi" w:hAnsiTheme="minorHAnsi" w:cs="Arial"/>
                <w:szCs w:val="22"/>
                <w:lang w:val="es-EC"/>
              </w:rPr>
              <w:t xml:space="preserve">Naciones Unidas. </w:t>
            </w:r>
            <w:r w:rsidR="007B36A2" w:rsidRPr="008C5E29">
              <w:rPr>
                <w:rFonts w:asciiTheme="minorHAnsi" w:hAnsiTheme="minorHAnsi" w:cs="Arial"/>
                <w:szCs w:val="22"/>
                <w:lang w:val="es-EC"/>
              </w:rPr>
              <w:t>Sistema de Cuentas Nacionales 2008 (SCN 2008)</w:t>
            </w:r>
            <w:r w:rsidRPr="008C5E29">
              <w:rPr>
                <w:rFonts w:asciiTheme="minorHAnsi" w:hAnsiTheme="minorHAnsi" w:cs="Arial"/>
                <w:szCs w:val="22"/>
                <w:lang w:val="es-EC"/>
              </w:rPr>
              <w:t>.</w:t>
            </w:r>
            <w:r w:rsidR="007B36A2">
              <w:rPr>
                <w:rFonts w:eastAsiaTheme="minorHAnsi"/>
                <w:sz w:val="20"/>
                <w:lang w:val="es-EC"/>
              </w:rPr>
              <w:t xml:space="preserve"> </w:t>
            </w:r>
          </w:p>
        </w:tc>
      </w:tr>
      <w:tr w:rsidR="007B36A2" w:rsidRPr="00080CCB" w:rsidTr="0009005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FECHA DE ELABORACIÓN DE LA FICHA METODOLÓGICA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080CCB" w:rsidRDefault="007B36A2" w:rsidP="00090053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09005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 xml:space="preserve">FECHA DE LA ÚLTIMA ACTUALIZACIÓN DE LA </w:t>
            </w: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lastRenderedPageBreak/>
              <w:t>FICHA METODOLÓGICA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Pr="00080CCB" w:rsidRDefault="007B36A2" w:rsidP="000A5B0A">
            <w:pPr>
              <w:rPr>
                <w:rFonts w:asciiTheme="minorHAnsi" w:hAnsiTheme="minorHAnsi" w:cs="Arial"/>
                <w:szCs w:val="22"/>
              </w:rPr>
            </w:pPr>
          </w:p>
        </w:tc>
      </w:tr>
      <w:tr w:rsidR="007B36A2" w:rsidRPr="00080CCB" w:rsidTr="00EB3D0B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lastRenderedPageBreak/>
              <w:t>CLASIFICADOR TEMÁTICO ESTADÍSTICO</w:t>
            </w:r>
          </w:p>
        </w:tc>
        <w:tc>
          <w:tcPr>
            <w:tcW w:w="3984" w:type="dxa"/>
            <w:gridSpan w:val="2"/>
            <w:shd w:val="clear" w:color="auto" w:fill="auto"/>
            <w:vAlign w:val="center"/>
          </w:tcPr>
          <w:p w:rsidR="007B36A2" w:rsidRDefault="007B36A2" w:rsidP="00606170">
            <w:pPr>
              <w:spacing w:before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1: 1.4 Salud</w:t>
            </w:r>
          </w:p>
          <w:p w:rsidR="007B36A2" w:rsidRPr="00080CCB" w:rsidRDefault="007B36A2" w:rsidP="00606170">
            <w:pPr>
              <w:spacing w:after="120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Dominio 2: 2.2 Cuentas económicas</w:t>
            </w:r>
          </w:p>
        </w:tc>
      </w:tr>
      <w:tr w:rsidR="007B36A2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7B36A2" w:rsidRPr="00080CCB" w:rsidRDefault="007B36A2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 w:rsidRPr="00080CCB"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ELABORADO POR</w:t>
            </w:r>
          </w:p>
        </w:tc>
        <w:tc>
          <w:tcPr>
            <w:tcW w:w="3984" w:type="dxa"/>
            <w:gridSpan w:val="2"/>
            <w:vAlign w:val="center"/>
          </w:tcPr>
          <w:p w:rsidR="007B36A2" w:rsidRPr="00080CCB" w:rsidRDefault="000B451E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Miembros de Equipo ASIN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Pr="00080CCB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REVISADO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>María Soledad Carvajal Ruiz</w:t>
            </w:r>
          </w:p>
        </w:tc>
      </w:tr>
      <w:tr w:rsidR="009C448A" w:rsidRPr="00080CCB" w:rsidTr="00C332B3">
        <w:trPr>
          <w:jc w:val="center"/>
        </w:trPr>
        <w:tc>
          <w:tcPr>
            <w:tcW w:w="5070" w:type="dxa"/>
            <w:gridSpan w:val="2"/>
            <w:shd w:val="clear" w:color="auto" w:fill="DBE5F1"/>
            <w:vAlign w:val="center"/>
          </w:tcPr>
          <w:p w:rsidR="009C448A" w:rsidRDefault="009C448A" w:rsidP="005E3C40">
            <w:pPr>
              <w:spacing w:before="60" w:after="60"/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</w:pPr>
            <w:r>
              <w:rPr>
                <w:rFonts w:asciiTheme="minorHAnsi" w:eastAsiaTheme="minorHAnsi" w:hAnsiTheme="minorHAnsi" w:cs="Arial"/>
                <w:b/>
                <w:color w:val="000000"/>
                <w:szCs w:val="22"/>
                <w:lang w:val="es-EC"/>
              </w:rPr>
              <w:t>APROBADO POR</w:t>
            </w:r>
          </w:p>
        </w:tc>
        <w:tc>
          <w:tcPr>
            <w:tcW w:w="3984" w:type="dxa"/>
            <w:gridSpan w:val="2"/>
            <w:vAlign w:val="center"/>
          </w:tcPr>
          <w:p w:rsidR="009C448A" w:rsidRDefault="009C448A" w:rsidP="008C5E29">
            <w:pPr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Jaime  </w:t>
            </w:r>
            <w:r w:rsidR="00EB3D0B" w:rsidRPr="00EB3D0B">
              <w:rPr>
                <w:rFonts w:asciiTheme="minorHAnsi" w:hAnsiTheme="minorHAnsi" w:cs="Arial"/>
                <w:szCs w:val="22"/>
              </w:rPr>
              <w:t>Gerardo</w:t>
            </w:r>
            <w:r>
              <w:rPr>
                <w:rFonts w:asciiTheme="minorHAnsi" w:hAnsiTheme="minorHAnsi" w:cs="Arial"/>
                <w:szCs w:val="22"/>
              </w:rPr>
              <w:t xml:space="preserve"> Salcedo Bastidas</w:t>
            </w:r>
          </w:p>
        </w:tc>
      </w:tr>
    </w:tbl>
    <w:p w:rsidR="007D52DD" w:rsidRPr="00080CCB" w:rsidRDefault="007D52DD" w:rsidP="007D52DD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Borders>
          <w:top w:val="threeDEmboss" w:sz="18" w:space="0" w:color="FFFFFF" w:themeColor="background1"/>
          <w:left w:val="threeDEmboss" w:sz="18" w:space="0" w:color="FFFFFF" w:themeColor="background1"/>
          <w:bottom w:val="threeDEmboss" w:sz="18" w:space="0" w:color="FFFFFF" w:themeColor="background1"/>
          <w:right w:val="threeDEmboss" w:sz="18" w:space="0" w:color="FFFFFF" w:themeColor="background1"/>
          <w:insideH w:val="threeDEmboss" w:sz="18" w:space="0" w:color="FFFFFF" w:themeColor="background1"/>
          <w:insideV w:val="threeDEmboss" w:sz="18" w:space="0" w:color="FFFFFF" w:themeColor="background1"/>
        </w:tblBorders>
        <w:tblLook w:val="04A0" w:firstRow="1" w:lastRow="0" w:firstColumn="1" w:lastColumn="0" w:noHBand="0" w:noVBand="1"/>
      </w:tblPr>
      <w:tblGrid>
        <w:gridCol w:w="4470"/>
        <w:gridCol w:w="4508"/>
      </w:tblGrid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ANEXOS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2F5496" w:themeFill="accent5" w:themeFillShade="BF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color w:val="FFFFFF" w:themeColor="background1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color w:val="FFFFFF" w:themeColor="background1"/>
                <w:szCs w:val="22"/>
              </w:rPr>
              <w:t>ANEXO 1:</w:t>
            </w:r>
          </w:p>
        </w:tc>
      </w:tr>
      <w:tr w:rsidR="007D52DD" w:rsidRPr="00080CCB" w:rsidTr="001E61E6">
        <w:tc>
          <w:tcPr>
            <w:tcW w:w="8978" w:type="dxa"/>
            <w:gridSpan w:val="2"/>
            <w:shd w:val="clear" w:color="auto" w:fill="DBE5F1"/>
            <w:vAlign w:val="center"/>
          </w:tcPr>
          <w:p w:rsidR="007D52DD" w:rsidRPr="00080CCB" w:rsidRDefault="007D52DD" w:rsidP="001E61E6">
            <w:pPr>
              <w:spacing w:before="120" w:after="120"/>
              <w:jc w:val="center"/>
              <w:rPr>
                <w:rFonts w:asciiTheme="minorHAnsi" w:hAnsiTheme="minorHAnsi" w:cs="Arial"/>
                <w:szCs w:val="22"/>
              </w:rPr>
            </w:pPr>
            <w:r w:rsidRPr="00080CCB">
              <w:rPr>
                <w:rFonts w:asciiTheme="minorHAnsi" w:hAnsiTheme="minorHAnsi" w:cs="Arial"/>
                <w:b/>
                <w:bCs/>
                <w:szCs w:val="22"/>
              </w:rPr>
              <w:t>SINTAXIS</w:t>
            </w:r>
          </w:p>
        </w:tc>
      </w:tr>
      <w:tr w:rsidR="007D52DD" w:rsidRPr="00080CCB" w:rsidTr="001E61E6">
        <w:tc>
          <w:tcPr>
            <w:tcW w:w="8978" w:type="dxa"/>
            <w:gridSpan w:val="2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  <w:tr w:rsidR="007D52DD" w:rsidRPr="00080CCB" w:rsidTr="001E61E6">
        <w:tc>
          <w:tcPr>
            <w:tcW w:w="4470" w:type="dxa"/>
            <w:shd w:val="clear" w:color="auto" w:fill="DBE5F1"/>
            <w:vAlign w:val="center"/>
          </w:tcPr>
          <w:p w:rsidR="007D52DD" w:rsidRPr="00080CCB" w:rsidRDefault="007D52DD" w:rsidP="001E61E6">
            <w:pPr>
              <w:pStyle w:val="Default"/>
              <w:spacing w:before="60"/>
              <w:rPr>
                <w:rFonts w:asciiTheme="minorHAnsi" w:hAnsiTheme="minorHAnsi"/>
                <w:sz w:val="22"/>
                <w:szCs w:val="22"/>
              </w:rPr>
            </w:pPr>
            <w:r w:rsidRPr="00080CCB">
              <w:rPr>
                <w:rFonts w:asciiTheme="minorHAnsi" w:hAnsiTheme="minorHAnsi"/>
                <w:b/>
                <w:bCs/>
                <w:sz w:val="22"/>
                <w:szCs w:val="22"/>
              </w:rPr>
              <w:t>AÑO DE REFERENCIA DE LA SINTAXIS</w:t>
            </w:r>
          </w:p>
        </w:tc>
        <w:tc>
          <w:tcPr>
            <w:tcW w:w="4508" w:type="dxa"/>
            <w:vAlign w:val="center"/>
          </w:tcPr>
          <w:p w:rsidR="007D52DD" w:rsidRPr="00080CCB" w:rsidRDefault="007D52DD" w:rsidP="001E61E6">
            <w:pPr>
              <w:jc w:val="center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337737" w:rsidRPr="00080CCB" w:rsidRDefault="00337737" w:rsidP="00337737">
      <w:pPr>
        <w:rPr>
          <w:rFonts w:asciiTheme="minorHAnsi" w:hAnsiTheme="minorHAnsi"/>
          <w:sz w:val="22"/>
          <w:szCs w:val="22"/>
        </w:rPr>
      </w:pPr>
    </w:p>
    <w:sectPr w:rsidR="00337737" w:rsidRPr="00080CCB" w:rsidSect="00317A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276" w:left="1701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665" w:rsidRDefault="00E95665" w:rsidP="007C0272">
      <w:r>
        <w:separator/>
      </w:r>
    </w:p>
  </w:endnote>
  <w:endnote w:type="continuationSeparator" w:id="0">
    <w:p w:rsidR="00E95665" w:rsidRDefault="00E95665" w:rsidP="007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FC" w:rsidRDefault="000618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FC" w:rsidRDefault="000618F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FC" w:rsidRDefault="000618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665" w:rsidRDefault="00E95665" w:rsidP="007C0272">
      <w:r>
        <w:separator/>
      </w:r>
    </w:p>
  </w:footnote>
  <w:footnote w:type="continuationSeparator" w:id="0">
    <w:p w:rsidR="00E95665" w:rsidRDefault="00E95665" w:rsidP="007C0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FC" w:rsidRDefault="000618F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0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38"/>
      <w:gridCol w:w="930"/>
      <w:gridCol w:w="4118"/>
      <w:gridCol w:w="1618"/>
    </w:tblGrid>
    <w:tr w:rsidR="00E95665" w:rsidRPr="004B60A7" w:rsidTr="00C9068F">
      <w:trPr>
        <w:trHeight w:val="281"/>
      </w:trPr>
      <w:tc>
        <w:tcPr>
          <w:tcW w:w="2438" w:type="dxa"/>
          <w:vMerge w:val="restart"/>
          <w:shd w:val="clear" w:color="auto" w:fill="auto"/>
        </w:tcPr>
        <w:p w:rsidR="00E95665" w:rsidRPr="004B60A7" w:rsidRDefault="00E95665" w:rsidP="006A39CE">
          <w:pPr>
            <w:jc w:val="center"/>
            <w:rPr>
              <w:b/>
              <w:u w:val="single"/>
            </w:rPr>
          </w:pPr>
          <w:r>
            <w:rPr>
              <w:noProof/>
              <w:lang w:val="es-EC" w:eastAsia="es-EC"/>
            </w:rPr>
            <w:drawing>
              <wp:anchor distT="0" distB="0" distL="114300" distR="114300" simplePos="0" relativeHeight="251659264" behindDoc="0" locked="0" layoutInCell="1" allowOverlap="1" wp14:anchorId="18DE342F" wp14:editId="1F84A6AC">
                <wp:simplePos x="0" y="0"/>
                <wp:positionH relativeFrom="column">
                  <wp:posOffset>29049</wp:posOffset>
                </wp:positionH>
                <wp:positionV relativeFrom="paragraph">
                  <wp:posOffset>457200</wp:posOffset>
                </wp:positionV>
                <wp:extent cx="1304925" cy="381000"/>
                <wp:effectExtent l="0" t="0" r="9525" b="0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882" b="142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30" w:type="dxa"/>
          <w:vMerge w:val="restart"/>
          <w:shd w:val="clear" w:color="auto" w:fill="auto"/>
          <w:vAlign w:val="center"/>
        </w:tcPr>
        <w:p w:rsidR="00E95665" w:rsidRPr="009329F8" w:rsidRDefault="00E95665" w:rsidP="006A39CE">
          <w:pPr>
            <w:jc w:val="center"/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FICHA METODOLÓGICA</w:t>
          </w:r>
        </w:p>
      </w:tc>
      <w:tc>
        <w:tcPr>
          <w:tcW w:w="4118" w:type="dxa"/>
          <w:vAlign w:val="center"/>
        </w:tcPr>
        <w:p w:rsidR="00E95665" w:rsidRPr="009329F8" w:rsidRDefault="00E95665" w:rsidP="003A430C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Nombre: Cuenta</w:t>
          </w:r>
          <w:r>
            <w:rPr>
              <w:rFonts w:ascii="Century Gothic" w:hAnsi="Century Gothic"/>
              <w:b/>
              <w:sz w:val="16"/>
            </w:rPr>
            <w:t>s</w:t>
          </w:r>
          <w:r w:rsidRPr="009329F8">
            <w:rPr>
              <w:rFonts w:ascii="Century Gothic" w:hAnsi="Century Gothic"/>
              <w:b/>
              <w:sz w:val="16"/>
            </w:rPr>
            <w:t xml:space="preserve"> Satélite de Salud</w:t>
          </w:r>
          <w:r>
            <w:rPr>
              <w:rFonts w:ascii="Century Gothic" w:hAnsi="Century Gothic"/>
              <w:b/>
              <w:sz w:val="16"/>
            </w:rPr>
            <w:t xml:space="preserve"> (CSS)</w:t>
          </w:r>
        </w:p>
      </w:tc>
      <w:tc>
        <w:tcPr>
          <w:tcW w:w="1618" w:type="dxa"/>
          <w:shd w:val="clear" w:color="auto" w:fill="auto"/>
          <w:vAlign w:val="center"/>
        </w:tcPr>
        <w:p w:rsidR="00E95665" w:rsidRPr="00F75E05" w:rsidRDefault="00E95665" w:rsidP="000618FC">
          <w:pPr>
            <w:tabs>
              <w:tab w:val="right" w:pos="2253"/>
            </w:tabs>
            <w:jc w:val="center"/>
            <w:rPr>
              <w:rFonts w:ascii="Century Gothic" w:hAnsi="Century Gothic"/>
              <w:sz w:val="16"/>
              <w:highlight w:val="yellow"/>
            </w:rPr>
          </w:pPr>
          <w:r w:rsidRPr="003A430C">
            <w:rPr>
              <w:rFonts w:ascii="Century Gothic" w:hAnsi="Century Gothic"/>
              <w:b/>
              <w:sz w:val="16"/>
            </w:rPr>
            <w:t>Versión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  <w:bookmarkStart w:id="0" w:name="_GoBack"/>
          <w:bookmarkEnd w:id="0"/>
          <w:r>
            <w:rPr>
              <w:rFonts w:ascii="Century Gothic" w:hAnsi="Century Gothic"/>
              <w:b/>
              <w:sz w:val="16"/>
            </w:rPr>
            <w:t>1</w:t>
          </w:r>
        </w:p>
      </w:tc>
    </w:tr>
    <w:tr w:rsidR="00E95665" w:rsidRPr="004B60A7" w:rsidTr="00C9068F">
      <w:trPr>
        <w:trHeight w:val="285"/>
      </w:trPr>
      <w:tc>
        <w:tcPr>
          <w:tcW w:w="2438" w:type="dxa"/>
          <w:vMerge/>
          <w:shd w:val="clear" w:color="auto" w:fill="auto"/>
        </w:tcPr>
        <w:p w:rsidR="00E95665" w:rsidRPr="00F9306E" w:rsidRDefault="00E95665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30" w:type="dxa"/>
          <w:vMerge/>
          <w:shd w:val="clear" w:color="auto" w:fill="auto"/>
        </w:tcPr>
        <w:p w:rsidR="00E95665" w:rsidRPr="009329F8" w:rsidRDefault="00E95665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18" w:type="dxa"/>
          <w:vAlign w:val="center"/>
        </w:tcPr>
        <w:p w:rsidR="00E95665" w:rsidRPr="009329F8" w:rsidRDefault="00E95665" w:rsidP="004400F8">
          <w:pPr>
            <w:tabs>
              <w:tab w:val="right" w:pos="2253"/>
            </w:tabs>
            <w:spacing w:before="120"/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SECTOR INSTITUCIONAL:</w:t>
          </w:r>
          <w:r>
            <w:rPr>
              <w:rFonts w:ascii="Century Gothic" w:hAnsi="Century Gothic"/>
              <w:sz w:val="16"/>
            </w:rPr>
            <w:t xml:space="preserve"> S13 Gobierno General</w:t>
          </w:r>
        </w:p>
        <w:p w:rsidR="00E95665" w:rsidRPr="009329F8" w:rsidRDefault="00E95665" w:rsidP="0099143B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2:</w:t>
          </w:r>
        </w:p>
        <w:p w:rsidR="00E95665" w:rsidRPr="009329F8" w:rsidRDefault="00E95665" w:rsidP="0099143B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3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</w:p>
        <w:p w:rsidR="00E95665" w:rsidRDefault="00E95665" w:rsidP="001760C9">
          <w:pPr>
            <w:tabs>
              <w:tab w:val="right" w:pos="2253"/>
            </w:tabs>
            <w:rPr>
              <w:rFonts w:ascii="Century Gothic" w:hAnsi="Century Gothic"/>
              <w:b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Nivel 4</w:t>
          </w:r>
          <w:r>
            <w:rPr>
              <w:rFonts w:ascii="Century Gothic" w:hAnsi="Century Gothic"/>
              <w:b/>
              <w:sz w:val="16"/>
            </w:rPr>
            <w:t xml:space="preserve">: </w:t>
          </w:r>
          <w:r w:rsidRPr="008E4A7E">
            <w:rPr>
              <w:rFonts w:ascii="Century Gothic" w:hAnsi="Century Gothic"/>
              <w:sz w:val="16"/>
            </w:rPr>
            <w:t>Fondos de la Seguridad Social</w:t>
          </w:r>
        </w:p>
        <w:p w:rsidR="00E95665" w:rsidRPr="004400F8" w:rsidRDefault="00E95665" w:rsidP="004400F8">
          <w:pPr>
            <w:tabs>
              <w:tab w:val="right" w:pos="2253"/>
            </w:tabs>
            <w:spacing w:after="120"/>
            <w:rPr>
              <w:rFonts w:ascii="Century Gothic" w:hAnsi="Century Gothic"/>
              <w:b/>
              <w:sz w:val="16"/>
            </w:rPr>
          </w:pPr>
          <w:r w:rsidRPr="001760C9">
            <w:rPr>
              <w:rFonts w:ascii="Century Gothic" w:hAnsi="Century Gothic"/>
              <w:b/>
              <w:sz w:val="16"/>
            </w:rPr>
            <w:t xml:space="preserve">Nivel 5: </w:t>
          </w:r>
          <w:r w:rsidRPr="001760C9">
            <w:rPr>
              <w:rFonts w:ascii="Century Gothic" w:hAnsi="Century Gothic"/>
              <w:sz w:val="16"/>
            </w:rPr>
            <w:t>Seguro general de salud individual y familiar-rectoría</w:t>
          </w:r>
        </w:p>
      </w:tc>
      <w:tc>
        <w:tcPr>
          <w:tcW w:w="1618" w:type="dxa"/>
          <w:shd w:val="clear" w:color="auto" w:fill="auto"/>
          <w:vAlign w:val="center"/>
        </w:tcPr>
        <w:p w:rsidR="00E95665" w:rsidRPr="00F75E05" w:rsidRDefault="00E95665" w:rsidP="0099143B">
          <w:pPr>
            <w:tabs>
              <w:tab w:val="right" w:pos="2253"/>
            </w:tabs>
            <w:rPr>
              <w:rFonts w:ascii="Century Gothic" w:hAnsi="Century Gothic"/>
              <w:sz w:val="16"/>
              <w:highlight w:val="yellow"/>
            </w:rPr>
          </w:pPr>
        </w:p>
      </w:tc>
    </w:tr>
    <w:tr w:rsidR="00E95665" w:rsidRPr="004B60A7" w:rsidTr="00C9068F">
      <w:trPr>
        <w:trHeight w:val="290"/>
      </w:trPr>
      <w:tc>
        <w:tcPr>
          <w:tcW w:w="2438" w:type="dxa"/>
          <w:vMerge/>
          <w:shd w:val="clear" w:color="auto" w:fill="auto"/>
        </w:tcPr>
        <w:p w:rsidR="00E95665" w:rsidRPr="00F9306E" w:rsidRDefault="00E95665" w:rsidP="006A39CE">
          <w:pPr>
            <w:jc w:val="center"/>
            <w:rPr>
              <w:noProof/>
              <w:lang w:eastAsia="es-EC"/>
            </w:rPr>
          </w:pPr>
        </w:p>
      </w:tc>
      <w:tc>
        <w:tcPr>
          <w:tcW w:w="930" w:type="dxa"/>
          <w:vMerge/>
          <w:shd w:val="clear" w:color="auto" w:fill="auto"/>
        </w:tcPr>
        <w:p w:rsidR="00E95665" w:rsidRPr="009329F8" w:rsidRDefault="00E95665" w:rsidP="006A39CE">
          <w:pPr>
            <w:jc w:val="center"/>
            <w:rPr>
              <w:rFonts w:ascii="Century Gothic" w:hAnsi="Century Gothic"/>
              <w:b/>
              <w:sz w:val="16"/>
              <w:u w:val="single"/>
            </w:rPr>
          </w:pPr>
        </w:p>
      </w:tc>
      <w:tc>
        <w:tcPr>
          <w:tcW w:w="4118" w:type="dxa"/>
          <w:vAlign w:val="center"/>
        </w:tcPr>
        <w:p w:rsidR="00E95665" w:rsidRPr="009329F8" w:rsidRDefault="00E95665" w:rsidP="009329F8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 w:rsidRPr="009329F8">
            <w:rPr>
              <w:rFonts w:ascii="Century Gothic" w:hAnsi="Century Gothic"/>
              <w:b/>
              <w:sz w:val="16"/>
            </w:rPr>
            <w:t>I. Cuentas Corrientes y de Capital</w:t>
          </w:r>
          <w:r w:rsidRPr="009329F8">
            <w:rPr>
              <w:rFonts w:ascii="Century Gothic" w:hAnsi="Century Gothic"/>
              <w:sz w:val="16"/>
            </w:rPr>
            <w:t xml:space="preserve"> </w:t>
          </w:r>
        </w:p>
      </w:tc>
      <w:tc>
        <w:tcPr>
          <w:tcW w:w="1618" w:type="dxa"/>
          <w:shd w:val="clear" w:color="auto" w:fill="auto"/>
          <w:vAlign w:val="center"/>
        </w:tcPr>
        <w:p w:rsidR="00E95665" w:rsidRPr="00D74A47" w:rsidRDefault="00E95665" w:rsidP="00C9068F">
          <w:pPr>
            <w:tabs>
              <w:tab w:val="right" w:pos="2253"/>
            </w:tabs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 xml:space="preserve">Páginas: </w:t>
          </w:r>
          <w:r w:rsidRPr="00662EE0">
            <w:rPr>
              <w:rFonts w:ascii="Century Gothic" w:hAnsi="Century Gothic"/>
              <w:sz w:val="16"/>
            </w:rPr>
            <w:fldChar w:fldCharType="begin"/>
          </w:r>
          <w:r w:rsidRPr="00662EE0">
            <w:rPr>
              <w:rFonts w:ascii="Century Gothic" w:hAnsi="Century Gothic"/>
              <w:sz w:val="16"/>
            </w:rPr>
            <w:instrText>PAGE   \* MERGEFORMAT</w:instrText>
          </w:r>
          <w:r w:rsidRPr="00662EE0">
            <w:rPr>
              <w:rFonts w:ascii="Century Gothic" w:hAnsi="Century Gothic"/>
              <w:sz w:val="16"/>
            </w:rPr>
            <w:fldChar w:fldCharType="separate"/>
          </w:r>
          <w:r w:rsidR="000618FC">
            <w:rPr>
              <w:rFonts w:ascii="Century Gothic" w:hAnsi="Century Gothic"/>
              <w:noProof/>
              <w:sz w:val="16"/>
            </w:rPr>
            <w:t>1</w:t>
          </w:r>
          <w:r w:rsidRPr="00662EE0">
            <w:rPr>
              <w:rFonts w:ascii="Century Gothic" w:hAnsi="Century Gothic"/>
              <w:sz w:val="16"/>
            </w:rPr>
            <w:fldChar w:fldCharType="end"/>
          </w:r>
          <w:r>
            <w:rPr>
              <w:rFonts w:ascii="Century Gothic" w:hAnsi="Century Gothic"/>
              <w:sz w:val="16"/>
            </w:rPr>
            <w:t xml:space="preserve"> de 23</w:t>
          </w:r>
        </w:p>
      </w:tc>
    </w:tr>
  </w:tbl>
  <w:p w:rsidR="00E95665" w:rsidRPr="007D52DD" w:rsidRDefault="00E95665">
    <w:pPr>
      <w:pStyle w:val="Encabezado"/>
      <w:rPr>
        <w:lang w:val="es-EC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FC" w:rsidRDefault="000618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24E02"/>
    <w:multiLevelType w:val="hybridMultilevel"/>
    <w:tmpl w:val="57EEA12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648B5"/>
    <w:multiLevelType w:val="hybridMultilevel"/>
    <w:tmpl w:val="FD949BCA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24998"/>
    <w:multiLevelType w:val="hybridMultilevel"/>
    <w:tmpl w:val="44585AD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B7B54"/>
    <w:multiLevelType w:val="hybridMultilevel"/>
    <w:tmpl w:val="4C944C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D39BC"/>
    <w:multiLevelType w:val="hybridMultilevel"/>
    <w:tmpl w:val="4740EF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2222F"/>
    <w:multiLevelType w:val="hybridMultilevel"/>
    <w:tmpl w:val="CED0A9AE"/>
    <w:lvl w:ilvl="0" w:tplc="3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C07A3"/>
    <w:multiLevelType w:val="hybridMultilevel"/>
    <w:tmpl w:val="4C828A92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042DE"/>
    <w:multiLevelType w:val="hybridMultilevel"/>
    <w:tmpl w:val="DFA42F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62A9"/>
    <w:multiLevelType w:val="hybridMultilevel"/>
    <w:tmpl w:val="8EC46BDC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763FDC"/>
    <w:multiLevelType w:val="hybridMultilevel"/>
    <w:tmpl w:val="E90E814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E78A3"/>
    <w:multiLevelType w:val="hybridMultilevel"/>
    <w:tmpl w:val="A930073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F9125A"/>
    <w:multiLevelType w:val="hybridMultilevel"/>
    <w:tmpl w:val="6362267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4025D"/>
    <w:multiLevelType w:val="hybridMultilevel"/>
    <w:tmpl w:val="A5A05D6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C2EF5"/>
    <w:multiLevelType w:val="hybridMultilevel"/>
    <w:tmpl w:val="686EBDF0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6B90FDC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B12E8"/>
    <w:multiLevelType w:val="hybridMultilevel"/>
    <w:tmpl w:val="CB7856B4"/>
    <w:lvl w:ilvl="0" w:tplc="AA506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4218B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8D989B90">
      <w:start w:val="1"/>
      <w:numFmt w:val="decimal"/>
      <w:lvlText w:val="%4"/>
      <w:lvlJc w:val="left"/>
      <w:pPr>
        <w:ind w:left="3120" w:hanging="600"/>
      </w:pPr>
      <w:rPr>
        <w:rFonts w:hint="default"/>
      </w:r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B4C88"/>
    <w:multiLevelType w:val="hybridMultilevel"/>
    <w:tmpl w:val="64300CF4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7285E"/>
    <w:multiLevelType w:val="hybridMultilevel"/>
    <w:tmpl w:val="7412779E"/>
    <w:lvl w:ilvl="0" w:tplc="64B25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A6313"/>
    <w:multiLevelType w:val="hybridMultilevel"/>
    <w:tmpl w:val="2534B7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BC1084"/>
    <w:multiLevelType w:val="hybridMultilevel"/>
    <w:tmpl w:val="92D69C86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EC73BA"/>
    <w:multiLevelType w:val="hybridMultilevel"/>
    <w:tmpl w:val="10E47370"/>
    <w:lvl w:ilvl="0" w:tplc="3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808ED"/>
    <w:multiLevelType w:val="hybridMultilevel"/>
    <w:tmpl w:val="2FF89E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D4051"/>
    <w:multiLevelType w:val="hybridMultilevel"/>
    <w:tmpl w:val="43404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3"/>
  </w:num>
  <w:num w:numId="5">
    <w:abstractNumId w:val="16"/>
  </w:num>
  <w:num w:numId="6">
    <w:abstractNumId w:val="17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  <w:num w:numId="11">
    <w:abstractNumId w:val="20"/>
  </w:num>
  <w:num w:numId="12">
    <w:abstractNumId w:val="9"/>
  </w:num>
  <w:num w:numId="13">
    <w:abstractNumId w:val="10"/>
  </w:num>
  <w:num w:numId="14">
    <w:abstractNumId w:val="0"/>
  </w:num>
  <w:num w:numId="15">
    <w:abstractNumId w:val="11"/>
  </w:num>
  <w:num w:numId="16">
    <w:abstractNumId w:val="21"/>
  </w:num>
  <w:num w:numId="17">
    <w:abstractNumId w:val="15"/>
  </w:num>
  <w:num w:numId="18">
    <w:abstractNumId w:val="1"/>
  </w:num>
  <w:num w:numId="19">
    <w:abstractNumId w:val="19"/>
  </w:num>
  <w:num w:numId="20">
    <w:abstractNumId w:val="6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4F"/>
    <w:rsid w:val="000078AC"/>
    <w:rsid w:val="00054C00"/>
    <w:rsid w:val="0005695C"/>
    <w:rsid w:val="00060B02"/>
    <w:rsid w:val="000618FC"/>
    <w:rsid w:val="00062658"/>
    <w:rsid w:val="00064B1E"/>
    <w:rsid w:val="0006511B"/>
    <w:rsid w:val="00080CCB"/>
    <w:rsid w:val="00082ED1"/>
    <w:rsid w:val="0008424A"/>
    <w:rsid w:val="00090053"/>
    <w:rsid w:val="00092BBF"/>
    <w:rsid w:val="000A5B0A"/>
    <w:rsid w:val="000B451E"/>
    <w:rsid w:val="000B50E0"/>
    <w:rsid w:val="000C01D1"/>
    <w:rsid w:val="000D13E5"/>
    <w:rsid w:val="000D71B3"/>
    <w:rsid w:val="000F7D81"/>
    <w:rsid w:val="00106810"/>
    <w:rsid w:val="00113CD6"/>
    <w:rsid w:val="001149C7"/>
    <w:rsid w:val="00115E80"/>
    <w:rsid w:val="00116051"/>
    <w:rsid w:val="0011624F"/>
    <w:rsid w:val="00126B61"/>
    <w:rsid w:val="00130E03"/>
    <w:rsid w:val="00133726"/>
    <w:rsid w:val="00143242"/>
    <w:rsid w:val="00147221"/>
    <w:rsid w:val="00175F15"/>
    <w:rsid w:val="001760C9"/>
    <w:rsid w:val="001A5BE5"/>
    <w:rsid w:val="001B61DF"/>
    <w:rsid w:val="001C1D16"/>
    <w:rsid w:val="001D1B9D"/>
    <w:rsid w:val="001E1704"/>
    <w:rsid w:val="001E61E6"/>
    <w:rsid w:val="001E7447"/>
    <w:rsid w:val="00200BB6"/>
    <w:rsid w:val="002066A2"/>
    <w:rsid w:val="0020674E"/>
    <w:rsid w:val="0021055D"/>
    <w:rsid w:val="00220C0B"/>
    <w:rsid w:val="00231304"/>
    <w:rsid w:val="002334A7"/>
    <w:rsid w:val="00234BF0"/>
    <w:rsid w:val="002407A4"/>
    <w:rsid w:val="002470ED"/>
    <w:rsid w:val="002521D1"/>
    <w:rsid w:val="00260679"/>
    <w:rsid w:val="00280C9F"/>
    <w:rsid w:val="00282270"/>
    <w:rsid w:val="0029094C"/>
    <w:rsid w:val="002A74F8"/>
    <w:rsid w:val="002B5523"/>
    <w:rsid w:val="002C328A"/>
    <w:rsid w:val="002D1E3C"/>
    <w:rsid w:val="002E74FA"/>
    <w:rsid w:val="003007DB"/>
    <w:rsid w:val="00304C1A"/>
    <w:rsid w:val="00307DBD"/>
    <w:rsid w:val="0031355D"/>
    <w:rsid w:val="003158AE"/>
    <w:rsid w:val="003172DD"/>
    <w:rsid w:val="00317A7D"/>
    <w:rsid w:val="003229B0"/>
    <w:rsid w:val="00326516"/>
    <w:rsid w:val="00326AF7"/>
    <w:rsid w:val="0033324C"/>
    <w:rsid w:val="00334F26"/>
    <w:rsid w:val="00337737"/>
    <w:rsid w:val="0034018B"/>
    <w:rsid w:val="0035114C"/>
    <w:rsid w:val="003759E7"/>
    <w:rsid w:val="00381919"/>
    <w:rsid w:val="003841A1"/>
    <w:rsid w:val="00390A3A"/>
    <w:rsid w:val="003A3092"/>
    <w:rsid w:val="003A430C"/>
    <w:rsid w:val="003C2F4C"/>
    <w:rsid w:val="003C4A15"/>
    <w:rsid w:val="00420C88"/>
    <w:rsid w:val="0043464C"/>
    <w:rsid w:val="00435C50"/>
    <w:rsid w:val="004400F8"/>
    <w:rsid w:val="00455041"/>
    <w:rsid w:val="004713AB"/>
    <w:rsid w:val="004724C7"/>
    <w:rsid w:val="00474143"/>
    <w:rsid w:val="00474BB1"/>
    <w:rsid w:val="004759AF"/>
    <w:rsid w:val="00476FDD"/>
    <w:rsid w:val="00482714"/>
    <w:rsid w:val="00496E62"/>
    <w:rsid w:val="004A1F07"/>
    <w:rsid w:val="004B0704"/>
    <w:rsid w:val="004B4029"/>
    <w:rsid w:val="004C57A3"/>
    <w:rsid w:val="004D09C9"/>
    <w:rsid w:val="004D2642"/>
    <w:rsid w:val="004D5D30"/>
    <w:rsid w:val="004D6539"/>
    <w:rsid w:val="004E302A"/>
    <w:rsid w:val="004E31D0"/>
    <w:rsid w:val="004E6558"/>
    <w:rsid w:val="00503695"/>
    <w:rsid w:val="00517F5E"/>
    <w:rsid w:val="0052601B"/>
    <w:rsid w:val="005323AC"/>
    <w:rsid w:val="00536CE6"/>
    <w:rsid w:val="005455EC"/>
    <w:rsid w:val="00552DBA"/>
    <w:rsid w:val="0056330D"/>
    <w:rsid w:val="0059078C"/>
    <w:rsid w:val="00594B3C"/>
    <w:rsid w:val="005C3B2F"/>
    <w:rsid w:val="005C7E91"/>
    <w:rsid w:val="005D1462"/>
    <w:rsid w:val="005E3C40"/>
    <w:rsid w:val="005F52C7"/>
    <w:rsid w:val="00603C5F"/>
    <w:rsid w:val="00606170"/>
    <w:rsid w:val="00613189"/>
    <w:rsid w:val="00617CF3"/>
    <w:rsid w:val="0062210E"/>
    <w:rsid w:val="00625414"/>
    <w:rsid w:val="006275C1"/>
    <w:rsid w:val="00627F54"/>
    <w:rsid w:val="0063164A"/>
    <w:rsid w:val="00633AF0"/>
    <w:rsid w:val="0064134D"/>
    <w:rsid w:val="00662EE0"/>
    <w:rsid w:val="00690D15"/>
    <w:rsid w:val="006A0385"/>
    <w:rsid w:val="006A39CE"/>
    <w:rsid w:val="006A7E9A"/>
    <w:rsid w:val="006C380F"/>
    <w:rsid w:val="006E4721"/>
    <w:rsid w:val="007011C1"/>
    <w:rsid w:val="007132C2"/>
    <w:rsid w:val="007266B5"/>
    <w:rsid w:val="007415AB"/>
    <w:rsid w:val="007454AD"/>
    <w:rsid w:val="00746C3F"/>
    <w:rsid w:val="00747426"/>
    <w:rsid w:val="00757B9E"/>
    <w:rsid w:val="00792D00"/>
    <w:rsid w:val="0079303F"/>
    <w:rsid w:val="007A15C7"/>
    <w:rsid w:val="007B36A2"/>
    <w:rsid w:val="007C0272"/>
    <w:rsid w:val="007D05E6"/>
    <w:rsid w:val="007D1F9A"/>
    <w:rsid w:val="007D52DD"/>
    <w:rsid w:val="0080228D"/>
    <w:rsid w:val="00807CAB"/>
    <w:rsid w:val="00811A80"/>
    <w:rsid w:val="008245E1"/>
    <w:rsid w:val="0084105B"/>
    <w:rsid w:val="00845F7D"/>
    <w:rsid w:val="008511E9"/>
    <w:rsid w:val="0086217E"/>
    <w:rsid w:val="00865EB3"/>
    <w:rsid w:val="00866B13"/>
    <w:rsid w:val="00890DD1"/>
    <w:rsid w:val="008A7248"/>
    <w:rsid w:val="008C5E29"/>
    <w:rsid w:val="008D4B7D"/>
    <w:rsid w:val="008D5409"/>
    <w:rsid w:val="008E33AF"/>
    <w:rsid w:val="008E4A7E"/>
    <w:rsid w:val="00924F9E"/>
    <w:rsid w:val="009329F8"/>
    <w:rsid w:val="00935CAD"/>
    <w:rsid w:val="00951384"/>
    <w:rsid w:val="009523A7"/>
    <w:rsid w:val="00965ED3"/>
    <w:rsid w:val="0096637E"/>
    <w:rsid w:val="009700F1"/>
    <w:rsid w:val="00977559"/>
    <w:rsid w:val="0099143B"/>
    <w:rsid w:val="00994BB6"/>
    <w:rsid w:val="00997EC0"/>
    <w:rsid w:val="009A3DF6"/>
    <w:rsid w:val="009B153C"/>
    <w:rsid w:val="009B2CF7"/>
    <w:rsid w:val="009B32D8"/>
    <w:rsid w:val="009B45FF"/>
    <w:rsid w:val="009C0A42"/>
    <w:rsid w:val="009C448A"/>
    <w:rsid w:val="009C7C04"/>
    <w:rsid w:val="009D294B"/>
    <w:rsid w:val="009D29E6"/>
    <w:rsid w:val="009D569B"/>
    <w:rsid w:val="009F47E1"/>
    <w:rsid w:val="009F6F68"/>
    <w:rsid w:val="00A228EE"/>
    <w:rsid w:val="00A25CFA"/>
    <w:rsid w:val="00A36E9F"/>
    <w:rsid w:val="00A47768"/>
    <w:rsid w:val="00A53142"/>
    <w:rsid w:val="00A61FB1"/>
    <w:rsid w:val="00A77452"/>
    <w:rsid w:val="00A91DF0"/>
    <w:rsid w:val="00A94DA6"/>
    <w:rsid w:val="00AB1C70"/>
    <w:rsid w:val="00AC1732"/>
    <w:rsid w:val="00AC7899"/>
    <w:rsid w:val="00AD5299"/>
    <w:rsid w:val="00AF088F"/>
    <w:rsid w:val="00AF3335"/>
    <w:rsid w:val="00B07A11"/>
    <w:rsid w:val="00B146DB"/>
    <w:rsid w:val="00B404A5"/>
    <w:rsid w:val="00B4594B"/>
    <w:rsid w:val="00B81B15"/>
    <w:rsid w:val="00BA5D47"/>
    <w:rsid w:val="00BB08D7"/>
    <w:rsid w:val="00BB1CBA"/>
    <w:rsid w:val="00BB4335"/>
    <w:rsid w:val="00BB4705"/>
    <w:rsid w:val="00BD3421"/>
    <w:rsid w:val="00BF786C"/>
    <w:rsid w:val="00C17FA6"/>
    <w:rsid w:val="00C25FEC"/>
    <w:rsid w:val="00C323E0"/>
    <w:rsid w:val="00C332B3"/>
    <w:rsid w:val="00C37654"/>
    <w:rsid w:val="00C37F28"/>
    <w:rsid w:val="00C55373"/>
    <w:rsid w:val="00C55688"/>
    <w:rsid w:val="00C62662"/>
    <w:rsid w:val="00C72478"/>
    <w:rsid w:val="00C769E6"/>
    <w:rsid w:val="00C80DB2"/>
    <w:rsid w:val="00C9068F"/>
    <w:rsid w:val="00CA6AC4"/>
    <w:rsid w:val="00CC1DA9"/>
    <w:rsid w:val="00CE0885"/>
    <w:rsid w:val="00D10CF7"/>
    <w:rsid w:val="00D1396F"/>
    <w:rsid w:val="00D15B9F"/>
    <w:rsid w:val="00D232EC"/>
    <w:rsid w:val="00D2342C"/>
    <w:rsid w:val="00D40FD6"/>
    <w:rsid w:val="00D51F26"/>
    <w:rsid w:val="00D532FA"/>
    <w:rsid w:val="00D81074"/>
    <w:rsid w:val="00D84E7C"/>
    <w:rsid w:val="00D96841"/>
    <w:rsid w:val="00DA2882"/>
    <w:rsid w:val="00DE05FC"/>
    <w:rsid w:val="00DE0BFA"/>
    <w:rsid w:val="00DE7C6B"/>
    <w:rsid w:val="00DF1A67"/>
    <w:rsid w:val="00DF3E82"/>
    <w:rsid w:val="00DF66C2"/>
    <w:rsid w:val="00DF7424"/>
    <w:rsid w:val="00E01A1A"/>
    <w:rsid w:val="00E05929"/>
    <w:rsid w:val="00E06821"/>
    <w:rsid w:val="00E06F21"/>
    <w:rsid w:val="00E07B91"/>
    <w:rsid w:val="00E07F23"/>
    <w:rsid w:val="00E11153"/>
    <w:rsid w:val="00E16229"/>
    <w:rsid w:val="00E30EE0"/>
    <w:rsid w:val="00E4291B"/>
    <w:rsid w:val="00E43228"/>
    <w:rsid w:val="00E618AF"/>
    <w:rsid w:val="00E6350F"/>
    <w:rsid w:val="00E8548C"/>
    <w:rsid w:val="00E946C1"/>
    <w:rsid w:val="00E95665"/>
    <w:rsid w:val="00E97D08"/>
    <w:rsid w:val="00EA4FAC"/>
    <w:rsid w:val="00EB3D0B"/>
    <w:rsid w:val="00EC1EA9"/>
    <w:rsid w:val="00EC2135"/>
    <w:rsid w:val="00EC402C"/>
    <w:rsid w:val="00EC6B26"/>
    <w:rsid w:val="00EC7965"/>
    <w:rsid w:val="00ED0527"/>
    <w:rsid w:val="00ED1F22"/>
    <w:rsid w:val="00ED272B"/>
    <w:rsid w:val="00ED41DB"/>
    <w:rsid w:val="00F03FB0"/>
    <w:rsid w:val="00F0465A"/>
    <w:rsid w:val="00F12FA3"/>
    <w:rsid w:val="00F32A60"/>
    <w:rsid w:val="00F41C1B"/>
    <w:rsid w:val="00F46464"/>
    <w:rsid w:val="00F544E3"/>
    <w:rsid w:val="00F65A2D"/>
    <w:rsid w:val="00F74952"/>
    <w:rsid w:val="00F75E05"/>
    <w:rsid w:val="00F803F1"/>
    <w:rsid w:val="00F9354A"/>
    <w:rsid w:val="00F979E6"/>
    <w:rsid w:val="00FA0838"/>
    <w:rsid w:val="00FB1226"/>
    <w:rsid w:val="00FB6597"/>
    <w:rsid w:val="00FC2143"/>
    <w:rsid w:val="00FD2B68"/>
    <w:rsid w:val="00FD3EDC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1624F"/>
    <w:pPr>
      <w:ind w:left="720"/>
    </w:pPr>
    <w:rPr>
      <w:lang w:val="es-ES_tradnl"/>
    </w:rPr>
  </w:style>
  <w:style w:type="table" w:customStyle="1" w:styleId="Tablaconcuadrcula1">
    <w:name w:val="Tabla con cuadrícula1"/>
    <w:basedOn w:val="Tablanormal"/>
    <w:uiPriority w:val="59"/>
    <w:rsid w:val="0011624F"/>
    <w:pPr>
      <w:spacing w:after="0" w:line="240" w:lineRule="auto"/>
    </w:pPr>
    <w:rPr>
      <w:rFonts w:ascii="Calibri" w:eastAsia="Calibri" w:hAnsi="Calibri" w:cs="Times New Roman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11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11E9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table" w:styleId="Tablaconcuadrcula">
    <w:name w:val="Table Grid"/>
    <w:basedOn w:val="Tablanormal"/>
    <w:uiPriority w:val="39"/>
    <w:rsid w:val="007D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935CAD"/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080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0CC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0CC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0C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0CC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DE0BF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1624F"/>
    <w:pPr>
      <w:ind w:left="720"/>
    </w:pPr>
    <w:rPr>
      <w:lang w:val="es-ES_tradnl"/>
    </w:rPr>
  </w:style>
  <w:style w:type="table" w:customStyle="1" w:styleId="Tablaconcuadrcula1">
    <w:name w:val="Tabla con cuadrícula1"/>
    <w:basedOn w:val="Tablanormal"/>
    <w:uiPriority w:val="59"/>
    <w:rsid w:val="0011624F"/>
    <w:pPr>
      <w:spacing w:after="0" w:line="240" w:lineRule="auto"/>
    </w:pPr>
    <w:rPr>
      <w:rFonts w:ascii="Calibri" w:eastAsia="Calibri" w:hAnsi="Calibri" w:cs="Times New Roman"/>
      <w:lang w:eastAsia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511E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11E9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027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272"/>
    <w:rPr>
      <w:rFonts w:ascii="Times New Roman" w:eastAsia="Times New Roman" w:hAnsi="Times New Roman" w:cs="Times New Roman"/>
      <w:sz w:val="24"/>
      <w:szCs w:val="20"/>
      <w:lang w:val="es-ES"/>
    </w:rPr>
  </w:style>
  <w:style w:type="table" w:styleId="Tablaconcuadrcula">
    <w:name w:val="Table Grid"/>
    <w:basedOn w:val="Tablanormal"/>
    <w:uiPriority w:val="39"/>
    <w:rsid w:val="007D0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935CAD"/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080C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80CC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80CCB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80C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80CCB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DE0B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1069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56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29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E9E7C-8CD4-46C9-9266-7AD8D3A4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4703</Words>
  <Characters>25871</Characters>
  <Application>Microsoft Office Word</Application>
  <DocSecurity>0</DocSecurity>
  <Lines>215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Soledad Carvajal</dc:creator>
  <cp:lastModifiedBy>mrobalino</cp:lastModifiedBy>
  <cp:revision>8</cp:revision>
  <cp:lastPrinted>2015-11-13T17:57:00Z</cp:lastPrinted>
  <dcterms:created xsi:type="dcterms:W3CDTF">2015-12-01T16:10:00Z</dcterms:created>
  <dcterms:modified xsi:type="dcterms:W3CDTF">2015-12-01T17:11:00Z</dcterms:modified>
</cp:coreProperties>
</file>